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83" w:rsidRDefault="0009082D" w:rsidP="00A67483">
      <w:pPr>
        <w:pStyle w:val="2"/>
        <w:shd w:val="clear" w:color="auto" w:fill="auto"/>
        <w:ind w:right="20"/>
      </w:pPr>
      <w:r>
        <w:t xml:space="preserve">ФГБУ </w:t>
      </w:r>
      <w:r w:rsidR="00A14EE1">
        <w:t xml:space="preserve">туберкулезный </w:t>
      </w:r>
      <w:r>
        <w:t xml:space="preserve"> санаторий «</w:t>
      </w:r>
      <w:r w:rsidR="00A14EE1">
        <w:t>Выборг-3</w:t>
      </w:r>
      <w:r>
        <w:t>»</w:t>
      </w:r>
    </w:p>
    <w:p w:rsidR="00A67483" w:rsidRDefault="0009082D" w:rsidP="00A67483">
      <w:pPr>
        <w:pStyle w:val="2"/>
        <w:shd w:val="clear" w:color="auto" w:fill="auto"/>
        <w:ind w:left="20" w:hanging="20"/>
      </w:pPr>
      <w:r>
        <w:t>Министерства здравоохранения Российской Федерации</w:t>
      </w:r>
    </w:p>
    <w:p w:rsidR="00A67483" w:rsidRDefault="00A67483" w:rsidP="00A67483">
      <w:pPr>
        <w:pStyle w:val="2"/>
        <w:shd w:val="clear" w:color="auto" w:fill="auto"/>
        <w:ind w:left="20" w:hanging="20"/>
      </w:pPr>
      <w:r>
        <w:t>ПРИКАЗ №</w:t>
      </w:r>
      <w:r w:rsidR="001F73F7">
        <w:t xml:space="preserve"> </w:t>
      </w:r>
      <w:r w:rsidR="00973048">
        <w:t xml:space="preserve">  </w:t>
      </w:r>
      <w:r w:rsidR="00EB1DBA">
        <w:t>56</w:t>
      </w:r>
      <w:r w:rsidR="00973048">
        <w:t xml:space="preserve"> </w:t>
      </w:r>
    </w:p>
    <w:p w:rsidR="00A67483" w:rsidRDefault="00A67483" w:rsidP="00A67483">
      <w:pPr>
        <w:pStyle w:val="2"/>
        <w:shd w:val="clear" w:color="auto" w:fill="auto"/>
        <w:tabs>
          <w:tab w:val="left" w:pos="6967"/>
        </w:tabs>
        <w:spacing w:after="372" w:line="240" w:lineRule="exact"/>
        <w:jc w:val="left"/>
      </w:pPr>
    </w:p>
    <w:p w:rsidR="00EE3778" w:rsidRDefault="00A14EE1" w:rsidP="00A67483">
      <w:pPr>
        <w:pStyle w:val="2"/>
        <w:shd w:val="clear" w:color="auto" w:fill="auto"/>
        <w:tabs>
          <w:tab w:val="left" w:pos="6967"/>
        </w:tabs>
        <w:spacing w:after="372" w:line="240" w:lineRule="exact"/>
        <w:jc w:val="left"/>
      </w:pPr>
      <w:r>
        <w:t>П. Красный Холм</w:t>
      </w:r>
      <w:r w:rsidR="0009082D">
        <w:tab/>
      </w:r>
      <w:r w:rsidR="00A67483">
        <w:t xml:space="preserve">     </w:t>
      </w:r>
      <w:r w:rsidR="00B03A16">
        <w:t>2</w:t>
      </w:r>
      <w:r w:rsidR="00EB1DBA">
        <w:t>9</w:t>
      </w:r>
      <w:r w:rsidR="00A67483">
        <w:t xml:space="preserve"> </w:t>
      </w:r>
      <w:r w:rsidR="00AE41FF">
        <w:t>дека</w:t>
      </w:r>
      <w:r w:rsidR="007C568B">
        <w:t>б</w:t>
      </w:r>
      <w:r w:rsidR="0009082D">
        <w:t>ря 20</w:t>
      </w:r>
      <w:r w:rsidR="00914484">
        <w:t>2</w:t>
      </w:r>
      <w:r w:rsidR="00973048">
        <w:t>3</w:t>
      </w:r>
      <w:r w:rsidR="0009082D">
        <w:t>г.</w:t>
      </w:r>
    </w:p>
    <w:p w:rsidR="00EE3778" w:rsidRDefault="0009082D" w:rsidP="005014AF">
      <w:pPr>
        <w:pStyle w:val="10"/>
        <w:keepNext/>
        <w:keepLines/>
        <w:shd w:val="clear" w:color="auto" w:fill="auto"/>
        <w:spacing w:before="0" w:after="0" w:line="240" w:lineRule="exact"/>
        <w:jc w:val="center"/>
      </w:pPr>
      <w:bookmarkStart w:id="0" w:name="bookmark0"/>
      <w:r>
        <w:t>«О</w:t>
      </w:r>
      <w:r w:rsidR="00366640">
        <w:t xml:space="preserve"> </w:t>
      </w:r>
      <w:r w:rsidR="00AE41FF">
        <w:t>внесении изменений в приказ от 30.12.20</w:t>
      </w:r>
      <w:r w:rsidR="00A14EE1">
        <w:t>2</w:t>
      </w:r>
      <w:r w:rsidR="00914484">
        <w:t>1</w:t>
      </w:r>
      <w:r w:rsidR="00AE41FF">
        <w:t xml:space="preserve">г. № </w:t>
      </w:r>
      <w:r w:rsidR="00A14EE1">
        <w:t>83</w:t>
      </w:r>
      <w:r w:rsidR="0008520A">
        <w:t>»</w:t>
      </w:r>
      <w:bookmarkEnd w:id="0"/>
    </w:p>
    <w:p w:rsidR="002439FA" w:rsidRDefault="002439FA" w:rsidP="002439FA">
      <w:pPr>
        <w:pStyle w:val="10"/>
        <w:keepNext/>
        <w:keepLines/>
        <w:shd w:val="clear" w:color="auto" w:fill="auto"/>
        <w:spacing w:before="0" w:after="0" w:line="240" w:lineRule="exact"/>
        <w:jc w:val="center"/>
      </w:pPr>
    </w:p>
    <w:p w:rsidR="005014AF" w:rsidRDefault="005014AF" w:rsidP="002439FA">
      <w:pPr>
        <w:pStyle w:val="10"/>
        <w:keepNext/>
        <w:keepLines/>
        <w:shd w:val="clear" w:color="auto" w:fill="auto"/>
        <w:spacing w:before="0" w:after="0" w:line="240" w:lineRule="exact"/>
        <w:jc w:val="center"/>
      </w:pPr>
    </w:p>
    <w:p w:rsidR="00EE3778" w:rsidRDefault="003D1D6D" w:rsidP="002439FA">
      <w:pPr>
        <w:pStyle w:val="2"/>
        <w:spacing w:after="300"/>
        <w:ind w:left="20" w:right="20" w:firstLine="720"/>
        <w:jc w:val="both"/>
        <w:rPr>
          <w:rStyle w:val="0pt"/>
        </w:rPr>
      </w:pPr>
      <w:r>
        <w:t>В соответствии с</w:t>
      </w:r>
      <w:r w:rsidR="00366640">
        <w:t xml:space="preserve">о статьей </w:t>
      </w:r>
      <w:r w:rsidR="00AE41FF">
        <w:t xml:space="preserve">8 Федерального закона от </w:t>
      </w:r>
      <w:r w:rsidR="00366640">
        <w:t>06</w:t>
      </w:r>
      <w:r>
        <w:t xml:space="preserve"> </w:t>
      </w:r>
      <w:r w:rsidR="00AE41FF">
        <w:t>декаб</w:t>
      </w:r>
      <w:r w:rsidR="00125B6E">
        <w:t>ря</w:t>
      </w:r>
      <w:r>
        <w:t xml:space="preserve"> 201</w:t>
      </w:r>
      <w:r w:rsidR="00AE41FF">
        <w:t>1</w:t>
      </w:r>
      <w:r>
        <w:t xml:space="preserve"> г.</w:t>
      </w:r>
      <w:r w:rsidR="00AE41FF">
        <w:t xml:space="preserve"> № 402-ФЗ «О бухгалтерском учете»</w:t>
      </w:r>
      <w:r>
        <w:t xml:space="preserve">  </w:t>
      </w:r>
      <w:r w:rsidR="00A67483" w:rsidRPr="00A67483">
        <w:t xml:space="preserve"> </w:t>
      </w:r>
      <w:r w:rsidR="0009082D">
        <w:rPr>
          <w:rStyle w:val="0pt"/>
        </w:rPr>
        <w:t>ПРИКАЗЫВАЮ:</w:t>
      </w:r>
    </w:p>
    <w:p w:rsidR="00AE41FF" w:rsidRDefault="00AE41FF" w:rsidP="00914484">
      <w:pPr>
        <w:pStyle w:val="2"/>
        <w:numPr>
          <w:ilvl w:val="0"/>
          <w:numId w:val="2"/>
        </w:numPr>
        <w:ind w:left="0" w:firstLine="360"/>
        <w:jc w:val="both"/>
      </w:pPr>
      <w:r>
        <w:t>Внести изменения в приказ от 30.12.20</w:t>
      </w:r>
      <w:r w:rsidR="00A14EE1">
        <w:t>2</w:t>
      </w:r>
      <w:r>
        <w:t xml:space="preserve">1г. № </w:t>
      </w:r>
      <w:r w:rsidR="00A14EE1">
        <w:t>83</w:t>
      </w:r>
      <w:r>
        <w:t xml:space="preserve"> «</w:t>
      </w:r>
      <w:r w:rsidR="00914484" w:rsidRPr="00914484">
        <w:t>О внесении изменений в приказ</w:t>
      </w:r>
      <w:r w:rsidR="00A14EE1">
        <w:t xml:space="preserve"> от 28.12.2018 года №156 </w:t>
      </w:r>
      <w:r>
        <w:t>» согласно приложению.</w:t>
      </w:r>
    </w:p>
    <w:p w:rsidR="00147A2A" w:rsidRDefault="00147A2A" w:rsidP="00147A2A">
      <w:pPr>
        <w:pStyle w:val="2"/>
        <w:numPr>
          <w:ilvl w:val="0"/>
          <w:numId w:val="2"/>
        </w:numPr>
        <w:ind w:left="0" w:firstLine="360"/>
        <w:jc w:val="both"/>
      </w:pPr>
      <w:r w:rsidRPr="00147A2A">
        <w:t>Установить, что данная редакция Учетной политики применяется с 1 января 20</w:t>
      </w:r>
      <w:r>
        <w:t>2</w:t>
      </w:r>
      <w:r w:rsidR="00973048">
        <w:t>4</w:t>
      </w:r>
      <w:r w:rsidRPr="00147A2A">
        <w:t>г. во все последующие отчетные периоды с внесением в нее необходимых изменений и дополнений.</w:t>
      </w:r>
    </w:p>
    <w:p w:rsidR="00A14EE1" w:rsidRDefault="00A14EE1" w:rsidP="00147A2A">
      <w:pPr>
        <w:pStyle w:val="2"/>
        <w:numPr>
          <w:ilvl w:val="0"/>
          <w:numId w:val="2"/>
        </w:numPr>
        <w:ind w:left="0" w:firstLine="360"/>
        <w:jc w:val="both"/>
      </w:pPr>
      <w:r>
        <w:t>Опубликовать основные положения учетной политики в новой редакции на официальном сайте учреждения.</w:t>
      </w:r>
    </w:p>
    <w:p w:rsidR="009212A3" w:rsidRDefault="00C17BAB" w:rsidP="00147A2A">
      <w:pPr>
        <w:pStyle w:val="2"/>
        <w:numPr>
          <w:ilvl w:val="0"/>
          <w:numId w:val="2"/>
        </w:numPr>
        <w:ind w:left="0" w:firstLine="360"/>
        <w:jc w:val="both"/>
      </w:pPr>
      <w:r>
        <w:t xml:space="preserve">Контроль за исполнением приказа возложить на главного бухгалтера </w:t>
      </w:r>
      <w:r w:rsidR="00A14EE1">
        <w:t>Шанину</w:t>
      </w:r>
      <w:r>
        <w:t xml:space="preserve"> Елену </w:t>
      </w:r>
      <w:r w:rsidR="00A14EE1">
        <w:t>Валерьевну</w:t>
      </w:r>
    </w:p>
    <w:p w:rsidR="00EE3778" w:rsidRDefault="00EE3778" w:rsidP="00A219EC">
      <w:pPr>
        <w:pStyle w:val="2"/>
        <w:shd w:val="clear" w:color="auto" w:fill="auto"/>
        <w:tabs>
          <w:tab w:val="left" w:pos="2876"/>
        </w:tabs>
        <w:jc w:val="both"/>
      </w:pPr>
    </w:p>
    <w:p w:rsidR="005014AF" w:rsidRDefault="005014AF" w:rsidP="00A219EC">
      <w:pPr>
        <w:pStyle w:val="2"/>
        <w:shd w:val="clear" w:color="auto" w:fill="auto"/>
        <w:tabs>
          <w:tab w:val="left" w:pos="2876"/>
        </w:tabs>
        <w:jc w:val="both"/>
      </w:pPr>
    </w:p>
    <w:p w:rsidR="005014AF" w:rsidRDefault="005014AF" w:rsidP="005014AF">
      <w:pPr>
        <w:pStyle w:val="2"/>
        <w:shd w:val="clear" w:color="auto" w:fill="auto"/>
        <w:jc w:val="both"/>
      </w:pPr>
      <w:r>
        <w:t>Главн</w:t>
      </w:r>
      <w:r w:rsidR="00914484">
        <w:t>ый</w:t>
      </w:r>
      <w:r>
        <w:t xml:space="preserve"> врач</w:t>
      </w:r>
      <w:r w:rsidR="00914484">
        <w:t xml:space="preserve"> ФГБУ </w:t>
      </w:r>
      <w:r w:rsidR="00A14EE1">
        <w:t>Т</w:t>
      </w:r>
      <w:r w:rsidR="00914484">
        <w:t xml:space="preserve">С </w:t>
      </w:r>
      <w:r>
        <w:t>«</w:t>
      </w:r>
      <w:r w:rsidR="00A14EE1">
        <w:t>Выборг-3</w:t>
      </w:r>
      <w:r>
        <w:t xml:space="preserve">»                                                                     </w:t>
      </w:r>
      <w:r w:rsidR="00A14EE1">
        <w:t>С.А</w:t>
      </w:r>
      <w:r>
        <w:t xml:space="preserve">. </w:t>
      </w:r>
      <w:r w:rsidR="00A14EE1">
        <w:t>Здыбко</w:t>
      </w: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5014AF">
      <w:pPr>
        <w:pStyle w:val="2"/>
        <w:shd w:val="clear" w:color="auto" w:fill="auto"/>
        <w:jc w:val="both"/>
      </w:pPr>
    </w:p>
    <w:p w:rsidR="000F57B3" w:rsidRDefault="000F57B3" w:rsidP="000F57B3">
      <w:pPr>
        <w:pStyle w:val="2"/>
        <w:shd w:val="clear" w:color="auto" w:fill="auto"/>
        <w:jc w:val="right"/>
      </w:pPr>
      <w:r>
        <w:t>Приложение</w:t>
      </w:r>
      <w:r w:rsidR="003B16FE">
        <w:t>№ 1</w:t>
      </w:r>
    </w:p>
    <w:p w:rsidR="000F57B3" w:rsidRDefault="000F57B3" w:rsidP="000F57B3">
      <w:pPr>
        <w:pStyle w:val="2"/>
        <w:shd w:val="clear" w:color="auto" w:fill="auto"/>
        <w:jc w:val="right"/>
      </w:pPr>
      <w:r>
        <w:t xml:space="preserve">К приказу от </w:t>
      </w:r>
      <w:r w:rsidR="00283D47">
        <w:t>2</w:t>
      </w:r>
      <w:r w:rsidR="0021669F">
        <w:t>9</w:t>
      </w:r>
      <w:r>
        <w:t>.12.202</w:t>
      </w:r>
      <w:r w:rsidR="00C26483">
        <w:t>3</w:t>
      </w:r>
      <w:r>
        <w:t>г. №</w:t>
      </w:r>
      <w:r w:rsidR="008360B1">
        <w:t xml:space="preserve"> </w:t>
      </w:r>
      <w:r w:rsidR="00C26483">
        <w:t xml:space="preserve"> </w:t>
      </w:r>
      <w:r w:rsidR="0021669F">
        <w:t>56</w:t>
      </w:r>
    </w:p>
    <w:p w:rsidR="000F57B3" w:rsidRDefault="000F57B3" w:rsidP="000F57B3">
      <w:pPr>
        <w:pStyle w:val="2"/>
        <w:shd w:val="clear" w:color="auto" w:fill="auto"/>
        <w:jc w:val="right"/>
      </w:pPr>
    </w:p>
    <w:p w:rsidR="00A14EE1" w:rsidRDefault="00A14EE1" w:rsidP="00A14EE1">
      <w:pPr>
        <w:pStyle w:val="2"/>
        <w:numPr>
          <w:ilvl w:val="0"/>
          <w:numId w:val="3"/>
        </w:numPr>
        <w:jc w:val="both"/>
      </w:pPr>
      <w:r>
        <w:t>Пункт 1.1 Раздела 1 Организационные положения дополнить текстом следующего содержания:</w:t>
      </w:r>
    </w:p>
    <w:p w:rsidR="00A14EE1" w:rsidRDefault="00A14EE1" w:rsidP="00A14EE1">
      <w:pPr>
        <w:pStyle w:val="2"/>
        <w:numPr>
          <w:ilvl w:val="0"/>
          <w:numId w:val="3"/>
        </w:numPr>
        <w:jc w:val="both"/>
      </w:pPr>
      <w:r>
        <w:t>- Приказ Минфина России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A14EE1" w:rsidRDefault="00A14EE1" w:rsidP="00A14EE1">
      <w:pPr>
        <w:pStyle w:val="2"/>
        <w:numPr>
          <w:ilvl w:val="0"/>
          <w:numId w:val="3"/>
        </w:numPr>
        <w:jc w:val="both"/>
      </w:pPr>
      <w:r>
        <w:t>- Приказ Минфина России от 7 ноября 2022 г. N 157н "О внесении изменений в приложения N 1-5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A14EE1" w:rsidRDefault="00A14EE1" w:rsidP="00A14EE1">
      <w:pPr>
        <w:pStyle w:val="2"/>
        <w:numPr>
          <w:ilvl w:val="0"/>
          <w:numId w:val="3"/>
        </w:numPr>
        <w:jc w:val="both"/>
      </w:pPr>
      <w:r>
        <w:t>- Приказ Минфина России от 28 июня 2022 г. N 100н "О внесении изменений в приложения N 1-5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A14EE1" w:rsidRDefault="00A14EE1" w:rsidP="00A14EE1">
      <w:pPr>
        <w:pStyle w:val="2"/>
        <w:numPr>
          <w:ilvl w:val="0"/>
          <w:numId w:val="3"/>
        </w:numPr>
        <w:jc w:val="both"/>
      </w:pPr>
      <w:r>
        <w:t>- Приказ Минфина России от 30 сентября 2021 г. N 142н "О внесении изменений в приложения N 1 - 5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7B6638" w:rsidRDefault="00A14EE1" w:rsidP="009E7DD9">
      <w:pPr>
        <w:pStyle w:val="2"/>
        <w:numPr>
          <w:ilvl w:val="0"/>
          <w:numId w:val="3"/>
        </w:numPr>
        <w:spacing w:line="240" w:lineRule="auto"/>
        <w:jc w:val="both"/>
      </w:pPr>
      <w:r>
        <w:t xml:space="preserve"> </w:t>
      </w:r>
      <w:r w:rsidR="005069F3">
        <w:t>-</w:t>
      </w:r>
      <w:r w:rsidR="004B2114">
        <w:t xml:space="preserve"> Приказ Минфина России от 13 сентября 2023 г. N 143н "О внесении изменений в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 декабря 2016 г. N 256н"</w:t>
      </w:r>
      <w:r w:rsidR="007B6638">
        <w:t>;</w:t>
      </w:r>
    </w:p>
    <w:p w:rsidR="00A14EE1" w:rsidRDefault="00A14EE1" w:rsidP="00E26866">
      <w:pPr>
        <w:pStyle w:val="2"/>
        <w:spacing w:line="240" w:lineRule="auto"/>
        <w:jc w:val="both"/>
      </w:pPr>
      <w:r>
        <w:t xml:space="preserve">     </w:t>
      </w:r>
      <w:r w:rsidR="004E699E">
        <w:t xml:space="preserve">      </w:t>
      </w:r>
      <w:r w:rsidR="007B6638">
        <w:t>-Приказ Минфина России от 13 сентября 2023 г. N 144н</w:t>
      </w:r>
      <w:r w:rsidR="00F92C84">
        <w:t xml:space="preserve"> </w:t>
      </w:r>
      <w:r w:rsidR="007B6638">
        <w:t xml:space="preserve">"О внесении изменений в </w:t>
      </w:r>
      <w:r>
        <w:t xml:space="preserve">      </w:t>
      </w:r>
    </w:p>
    <w:p w:rsidR="00A14EE1" w:rsidRDefault="00A14EE1" w:rsidP="00E26866">
      <w:pPr>
        <w:pStyle w:val="2"/>
        <w:spacing w:line="240" w:lineRule="auto"/>
        <w:jc w:val="both"/>
      </w:pPr>
      <w:r>
        <w:t xml:space="preserve">           </w:t>
      </w:r>
      <w:r w:rsidR="007B6638">
        <w:t xml:space="preserve">федеральный стандарт бухгалтерского учета для организаций государственного </w:t>
      </w:r>
      <w:r>
        <w:t xml:space="preserve">    </w:t>
      </w:r>
    </w:p>
    <w:p w:rsidR="00A14EE1" w:rsidRDefault="00A14EE1" w:rsidP="00E26866">
      <w:pPr>
        <w:pStyle w:val="2"/>
        <w:spacing w:line="240" w:lineRule="auto"/>
        <w:jc w:val="both"/>
      </w:pPr>
      <w:r>
        <w:t xml:space="preserve">           </w:t>
      </w:r>
      <w:r w:rsidR="007B6638">
        <w:t xml:space="preserve">сектора "Учетная политика, оценочные значения и ошибки", утвержденный </w:t>
      </w:r>
      <w:r>
        <w:t xml:space="preserve"> </w:t>
      </w:r>
    </w:p>
    <w:p w:rsidR="00A14EE1" w:rsidRDefault="00A14EE1" w:rsidP="00E26866">
      <w:pPr>
        <w:pStyle w:val="2"/>
        <w:spacing w:line="240" w:lineRule="auto"/>
        <w:jc w:val="both"/>
      </w:pPr>
      <w:r>
        <w:t xml:space="preserve">           </w:t>
      </w:r>
      <w:r w:rsidR="007B6638">
        <w:t xml:space="preserve">приказом Министерства финансов Российской Федерации от 30 декабря 2017 г. N </w:t>
      </w:r>
      <w:r>
        <w:t xml:space="preserve"> </w:t>
      </w:r>
    </w:p>
    <w:p w:rsidR="007B6638" w:rsidRDefault="00A14EE1" w:rsidP="00E26866">
      <w:pPr>
        <w:pStyle w:val="2"/>
        <w:spacing w:line="240" w:lineRule="auto"/>
        <w:jc w:val="both"/>
      </w:pPr>
      <w:r>
        <w:t xml:space="preserve">            </w:t>
      </w:r>
      <w:r w:rsidR="007B6638">
        <w:t>274н";</w:t>
      </w:r>
    </w:p>
    <w:p w:rsidR="009D0BC3" w:rsidRPr="004E699E" w:rsidRDefault="004E699E" w:rsidP="004E699E">
      <w:pPr>
        <w:pStyle w:val="ad"/>
        <w:numPr>
          <w:ilvl w:val="0"/>
          <w:numId w:val="3"/>
        </w:numPr>
        <w:jc w:val="both"/>
        <w:rPr>
          <w:rFonts w:ascii="Times New Roman" w:hAnsi="Times New Roman" w:cs="Times New Roman"/>
        </w:rPr>
      </w:pPr>
      <w:r>
        <w:rPr>
          <w:rFonts w:ascii="Times New Roman" w:hAnsi="Times New Roman" w:cs="Times New Roman"/>
        </w:rPr>
        <w:t xml:space="preserve"> </w:t>
      </w:r>
      <w:r w:rsidRPr="004E699E">
        <w:rPr>
          <w:rFonts w:ascii="Times New Roman" w:hAnsi="Times New Roman" w:cs="Times New Roman"/>
        </w:rPr>
        <w:t>-</w:t>
      </w:r>
      <w:r w:rsidR="0086787E" w:rsidRPr="004E699E">
        <w:rPr>
          <w:rFonts w:ascii="Times New Roman" w:hAnsi="Times New Roman" w:cs="Times New Roman"/>
        </w:rPr>
        <w:t>П</w:t>
      </w:r>
      <w:r w:rsidR="00C26483" w:rsidRPr="004E699E">
        <w:rPr>
          <w:rFonts w:ascii="Times New Roman" w:hAnsi="Times New Roman" w:cs="Times New Roman"/>
        </w:rPr>
        <w:t>риложение №3</w:t>
      </w:r>
      <w:r w:rsidR="00B41C8D" w:rsidRPr="004E699E">
        <w:rPr>
          <w:rFonts w:ascii="Times New Roman" w:hAnsi="Times New Roman" w:cs="Times New Roman"/>
        </w:rPr>
        <w:t xml:space="preserve"> «Правила и график документооборота, а также технология обработки учетной информации»</w:t>
      </w:r>
      <w:r w:rsidR="00C26483" w:rsidRPr="004E699E">
        <w:rPr>
          <w:rFonts w:ascii="Times New Roman" w:hAnsi="Times New Roman" w:cs="Times New Roman"/>
        </w:rPr>
        <w:t xml:space="preserve"> к приказу от 30.12.20</w:t>
      </w:r>
      <w:r w:rsidR="00A860F7">
        <w:rPr>
          <w:rFonts w:ascii="Times New Roman" w:hAnsi="Times New Roman" w:cs="Times New Roman"/>
        </w:rPr>
        <w:t>21</w:t>
      </w:r>
      <w:r w:rsidR="00C26483" w:rsidRPr="004E699E">
        <w:rPr>
          <w:rFonts w:ascii="Times New Roman" w:hAnsi="Times New Roman" w:cs="Times New Roman"/>
        </w:rPr>
        <w:t>г. №</w:t>
      </w:r>
      <w:r w:rsidR="00E26866" w:rsidRPr="004E699E">
        <w:rPr>
          <w:rFonts w:ascii="Times New Roman" w:hAnsi="Times New Roman" w:cs="Times New Roman"/>
        </w:rPr>
        <w:t xml:space="preserve"> </w:t>
      </w:r>
      <w:r w:rsidR="00A860F7">
        <w:rPr>
          <w:rFonts w:ascii="Times New Roman" w:hAnsi="Times New Roman" w:cs="Times New Roman"/>
        </w:rPr>
        <w:t>83</w:t>
      </w:r>
      <w:r w:rsidR="00E26866" w:rsidRPr="004E699E">
        <w:rPr>
          <w:rFonts w:ascii="Times New Roman" w:hAnsi="Times New Roman" w:cs="Times New Roman"/>
        </w:rPr>
        <w:t xml:space="preserve"> «О внесении изменений в </w:t>
      </w:r>
      <w:r w:rsidR="00C26483" w:rsidRPr="004E699E">
        <w:rPr>
          <w:rFonts w:ascii="Times New Roman" w:hAnsi="Times New Roman" w:cs="Times New Roman"/>
        </w:rPr>
        <w:t>приказ от 30.12.201</w:t>
      </w:r>
      <w:r w:rsidR="00A860F7">
        <w:rPr>
          <w:rFonts w:ascii="Times New Roman" w:hAnsi="Times New Roman" w:cs="Times New Roman"/>
        </w:rPr>
        <w:t>8</w:t>
      </w:r>
      <w:r w:rsidR="00C26483" w:rsidRPr="004E699E">
        <w:rPr>
          <w:rFonts w:ascii="Times New Roman" w:hAnsi="Times New Roman" w:cs="Times New Roman"/>
        </w:rPr>
        <w:t xml:space="preserve">г. № </w:t>
      </w:r>
      <w:r w:rsidR="00A860F7">
        <w:rPr>
          <w:rFonts w:ascii="Times New Roman" w:hAnsi="Times New Roman" w:cs="Times New Roman"/>
        </w:rPr>
        <w:t>156</w:t>
      </w:r>
      <w:r w:rsidR="00C26483" w:rsidRPr="004E699E">
        <w:rPr>
          <w:rFonts w:ascii="Times New Roman" w:hAnsi="Times New Roman" w:cs="Times New Roman"/>
        </w:rPr>
        <w:t xml:space="preserve">» </w:t>
      </w:r>
      <w:r w:rsidR="0086787E" w:rsidRPr="004E699E">
        <w:rPr>
          <w:rFonts w:ascii="Times New Roman" w:hAnsi="Times New Roman" w:cs="Times New Roman"/>
        </w:rPr>
        <w:t>исключить.</w:t>
      </w:r>
    </w:p>
    <w:p w:rsidR="007D311C" w:rsidRPr="0021669F" w:rsidRDefault="00945DAF" w:rsidP="00E26866">
      <w:pPr>
        <w:pStyle w:val="ad"/>
        <w:numPr>
          <w:ilvl w:val="0"/>
          <w:numId w:val="3"/>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val="en-US" w:bidi="ar-SA"/>
        </w:rPr>
        <w:t>-</w:t>
      </w:r>
      <w:r w:rsidR="007D311C" w:rsidRPr="0081596A">
        <w:rPr>
          <w:rFonts w:ascii="Times New Roman" w:eastAsia="Times New Roman" w:hAnsi="Times New Roman" w:cs="Times New Roman"/>
          <w:color w:val="auto"/>
          <w:lang w:bidi="ar-SA"/>
        </w:rPr>
        <w:t>Внести изменения в приложение №</w:t>
      </w:r>
      <w:r w:rsidR="002829BF">
        <w:rPr>
          <w:rFonts w:ascii="Times New Roman" w:eastAsia="Times New Roman" w:hAnsi="Times New Roman" w:cs="Times New Roman"/>
          <w:color w:val="auto"/>
          <w:lang w:bidi="ar-SA"/>
        </w:rPr>
        <w:t>7</w:t>
      </w:r>
      <w:r w:rsidR="007D311C" w:rsidRPr="0081596A">
        <w:rPr>
          <w:rFonts w:ascii="Times New Roman" w:eastAsia="Times New Roman" w:hAnsi="Times New Roman" w:cs="Times New Roman"/>
          <w:color w:val="auto"/>
          <w:lang w:bidi="ar-SA"/>
        </w:rPr>
        <w:t xml:space="preserve"> </w:t>
      </w:r>
      <w:r w:rsidR="00022A3C">
        <w:rPr>
          <w:rFonts w:ascii="Times New Roman" w:eastAsia="Times New Roman" w:hAnsi="Times New Roman" w:cs="Times New Roman"/>
          <w:color w:val="auto"/>
          <w:lang w:bidi="ar-SA"/>
        </w:rPr>
        <w:t xml:space="preserve">«Порядок проведения инвентаризации активов и обязательств» </w:t>
      </w:r>
      <w:r w:rsidR="007D311C" w:rsidRPr="0081596A">
        <w:rPr>
          <w:rFonts w:ascii="Times New Roman" w:eastAsia="Times New Roman" w:hAnsi="Times New Roman" w:cs="Times New Roman"/>
          <w:color w:val="auto"/>
          <w:lang w:bidi="ar-SA"/>
        </w:rPr>
        <w:t xml:space="preserve">к </w:t>
      </w:r>
      <w:bookmarkStart w:id="1" w:name="_GoBack"/>
      <w:bookmarkEnd w:id="1"/>
      <w:r w:rsidR="007D311C" w:rsidRPr="0081596A">
        <w:rPr>
          <w:rFonts w:ascii="Times New Roman" w:eastAsia="Times New Roman" w:hAnsi="Times New Roman" w:cs="Times New Roman"/>
          <w:color w:val="auto"/>
          <w:lang w:bidi="ar-SA"/>
        </w:rPr>
        <w:t>приказу от 30.12.20</w:t>
      </w:r>
      <w:r w:rsidR="00A860F7">
        <w:rPr>
          <w:rFonts w:ascii="Times New Roman" w:eastAsia="Times New Roman" w:hAnsi="Times New Roman" w:cs="Times New Roman"/>
          <w:color w:val="auto"/>
          <w:lang w:bidi="ar-SA"/>
        </w:rPr>
        <w:t>2</w:t>
      </w:r>
      <w:r w:rsidR="007D311C" w:rsidRPr="0081596A">
        <w:rPr>
          <w:rFonts w:ascii="Times New Roman" w:eastAsia="Times New Roman" w:hAnsi="Times New Roman" w:cs="Times New Roman"/>
          <w:color w:val="auto"/>
          <w:lang w:bidi="ar-SA"/>
        </w:rPr>
        <w:t>1</w:t>
      </w:r>
      <w:r w:rsidR="007D311C" w:rsidRPr="007D311C">
        <w:rPr>
          <w:rFonts w:ascii="Times New Roman" w:eastAsia="Times New Roman" w:hAnsi="Times New Roman" w:cs="Times New Roman"/>
          <w:color w:val="auto"/>
          <w:lang w:bidi="ar-SA"/>
        </w:rPr>
        <w:t xml:space="preserve">г. № </w:t>
      </w:r>
      <w:r w:rsidR="00A860F7">
        <w:rPr>
          <w:rFonts w:ascii="Times New Roman" w:eastAsia="Times New Roman" w:hAnsi="Times New Roman" w:cs="Times New Roman"/>
          <w:color w:val="auto"/>
          <w:lang w:bidi="ar-SA"/>
        </w:rPr>
        <w:t>83</w:t>
      </w:r>
      <w:r w:rsidR="007D311C" w:rsidRPr="007D311C">
        <w:rPr>
          <w:rFonts w:ascii="Times New Roman" w:eastAsia="Times New Roman" w:hAnsi="Times New Roman" w:cs="Times New Roman"/>
          <w:color w:val="auto"/>
          <w:lang w:bidi="ar-SA"/>
        </w:rPr>
        <w:t xml:space="preserve"> «О внесении изменений в </w:t>
      </w:r>
      <w:r w:rsidR="007D311C" w:rsidRPr="0021669F">
        <w:rPr>
          <w:rFonts w:ascii="Times New Roman" w:eastAsia="Times New Roman" w:hAnsi="Times New Roman" w:cs="Times New Roman"/>
          <w:color w:val="auto"/>
          <w:lang w:bidi="ar-SA"/>
        </w:rPr>
        <w:lastRenderedPageBreak/>
        <w:t>приказ от 30.12.201</w:t>
      </w:r>
      <w:r w:rsidR="00A860F7" w:rsidRPr="0021669F">
        <w:rPr>
          <w:rFonts w:ascii="Times New Roman" w:eastAsia="Times New Roman" w:hAnsi="Times New Roman" w:cs="Times New Roman"/>
          <w:color w:val="auto"/>
          <w:lang w:bidi="ar-SA"/>
        </w:rPr>
        <w:t>8</w:t>
      </w:r>
      <w:r w:rsidR="007D311C" w:rsidRPr="0021669F">
        <w:rPr>
          <w:rFonts w:ascii="Times New Roman" w:eastAsia="Times New Roman" w:hAnsi="Times New Roman" w:cs="Times New Roman"/>
          <w:color w:val="auto"/>
          <w:lang w:bidi="ar-SA"/>
        </w:rPr>
        <w:t xml:space="preserve">г. № </w:t>
      </w:r>
      <w:r w:rsidR="00A860F7" w:rsidRPr="0021669F">
        <w:rPr>
          <w:rFonts w:ascii="Times New Roman" w:eastAsia="Times New Roman" w:hAnsi="Times New Roman" w:cs="Times New Roman"/>
          <w:color w:val="auto"/>
          <w:lang w:bidi="ar-SA"/>
        </w:rPr>
        <w:t>156</w:t>
      </w:r>
      <w:r w:rsidR="007D311C" w:rsidRPr="0021669F">
        <w:rPr>
          <w:rFonts w:ascii="Times New Roman" w:eastAsia="Times New Roman" w:hAnsi="Times New Roman" w:cs="Times New Roman"/>
          <w:color w:val="auto"/>
          <w:lang w:bidi="ar-SA"/>
        </w:rPr>
        <w:t>» изложив его в следующей редакции согласно приложению №</w:t>
      </w:r>
      <w:r w:rsidR="0086787E" w:rsidRPr="0021669F">
        <w:rPr>
          <w:rFonts w:ascii="Times New Roman" w:eastAsia="Times New Roman" w:hAnsi="Times New Roman" w:cs="Times New Roman"/>
          <w:color w:val="auto"/>
          <w:lang w:bidi="ar-SA"/>
        </w:rPr>
        <w:t>2</w:t>
      </w:r>
      <w:r w:rsidR="00022A3C" w:rsidRPr="0021669F">
        <w:rPr>
          <w:rFonts w:ascii="Times New Roman" w:eastAsia="Times New Roman" w:hAnsi="Times New Roman" w:cs="Times New Roman"/>
          <w:color w:val="auto"/>
          <w:lang w:bidi="ar-SA"/>
        </w:rPr>
        <w:t xml:space="preserve"> «Положение об инвентаризации»</w:t>
      </w:r>
      <w:r w:rsidR="007D311C" w:rsidRPr="0021669F">
        <w:rPr>
          <w:rFonts w:ascii="Times New Roman" w:eastAsia="Times New Roman" w:hAnsi="Times New Roman" w:cs="Times New Roman"/>
          <w:color w:val="auto"/>
          <w:lang w:bidi="ar-SA"/>
        </w:rPr>
        <w:t>.</w:t>
      </w:r>
    </w:p>
    <w:p w:rsidR="003679C9" w:rsidRPr="0021669F" w:rsidRDefault="003679C9" w:rsidP="00E26866">
      <w:pPr>
        <w:pStyle w:val="ad"/>
        <w:numPr>
          <w:ilvl w:val="0"/>
          <w:numId w:val="3"/>
        </w:numPr>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Внести изменения в  Приложения № 9,10 «Порядок расчетов с подотчетными  лицами»  к приказу  от 30.12.2021 года № 83 .</w:t>
      </w:r>
    </w:p>
    <w:p w:rsidR="00DC31AC" w:rsidRPr="0021669F" w:rsidRDefault="003679C9" w:rsidP="00E26866">
      <w:pPr>
        <w:pStyle w:val="ad"/>
        <w:numPr>
          <w:ilvl w:val="0"/>
          <w:numId w:val="3"/>
        </w:numPr>
        <w:jc w:val="both"/>
        <w:rPr>
          <w:rFonts w:ascii="Times New Roman" w:eastAsia="Times New Roman" w:hAnsi="Times New Roman" w:cs="Times New Roman"/>
          <w:color w:val="auto"/>
          <w:lang w:bidi="ar-SA"/>
        </w:rPr>
      </w:pPr>
      <w:r w:rsidRPr="0021669F">
        <w:rPr>
          <w:rFonts w:ascii="Times New Roman" w:eastAsia="Times New Roman" w:hAnsi="Times New Roman" w:cs="Times New Roman"/>
          <w:b/>
          <w:color w:val="auto"/>
          <w:lang w:bidi="ar-SA"/>
        </w:rPr>
        <w:t xml:space="preserve"> </w:t>
      </w:r>
      <w:r w:rsidR="00DC31AC" w:rsidRPr="0021669F">
        <w:rPr>
          <w:rFonts w:ascii="Times New Roman" w:eastAsia="Times New Roman" w:hAnsi="Times New Roman" w:cs="Times New Roman"/>
          <w:b/>
          <w:color w:val="auto"/>
          <w:lang w:bidi="ar-SA"/>
        </w:rPr>
        <w:t>Пункт 3.1 Раздела 3 Материальные запасы</w:t>
      </w:r>
      <w:r w:rsidR="00DC31AC" w:rsidRPr="0021669F">
        <w:rPr>
          <w:rFonts w:ascii="Times New Roman" w:eastAsia="Times New Roman" w:hAnsi="Times New Roman" w:cs="Times New Roman"/>
          <w:color w:val="auto"/>
          <w:lang w:bidi="ar-SA"/>
        </w:rPr>
        <w:t xml:space="preserve"> заменить текстом следующего содержания:</w:t>
      </w:r>
    </w:p>
    <w:p w:rsidR="00022A3C" w:rsidRPr="0021669F" w:rsidRDefault="00DC31AC" w:rsidP="00022A3C">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 xml:space="preserve">3.1. </w:t>
      </w:r>
      <w:r w:rsidR="00022A3C" w:rsidRPr="0021669F">
        <w:rPr>
          <w:rFonts w:ascii="Times New Roman" w:eastAsia="Times New Roman" w:hAnsi="Times New Roman" w:cs="Times New Roman"/>
          <w:color w:val="auto"/>
          <w:lang w:bidi="ar-SA"/>
        </w:rPr>
        <w:t xml:space="preserve">Группировка материальных запасов по сходным характеристикам осуществлена следующим образом: </w:t>
      </w:r>
    </w:p>
    <w:p w:rsidR="00B708C8" w:rsidRPr="0021669F" w:rsidRDefault="00B708C8" w:rsidP="00022A3C">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 "дезинфицирующие средства"</w:t>
      </w:r>
    </w:p>
    <w:p w:rsidR="00FC3EFE" w:rsidRPr="0021669F" w:rsidRDefault="00FC3EFE" w:rsidP="00B708C8">
      <w:pPr>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 xml:space="preserve">      - "перевязочные материалы"</w:t>
      </w:r>
    </w:p>
    <w:p w:rsidR="00022A3C" w:rsidRPr="0021669F" w:rsidRDefault="00022A3C" w:rsidP="00022A3C">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 "посуда";</w:t>
      </w:r>
    </w:p>
    <w:p w:rsidR="00022A3C" w:rsidRPr="0021669F" w:rsidRDefault="00022A3C" w:rsidP="00022A3C">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Единицей бухгалтерского учета материальных запасо</w:t>
      </w:r>
      <w:r w:rsidR="00C11794" w:rsidRPr="0021669F">
        <w:rPr>
          <w:rFonts w:ascii="Times New Roman" w:eastAsia="Times New Roman" w:hAnsi="Times New Roman" w:cs="Times New Roman"/>
          <w:color w:val="auto"/>
          <w:lang w:bidi="ar-SA"/>
        </w:rPr>
        <w:t>в является номенклатурный номер.</w:t>
      </w:r>
      <w:r w:rsidRPr="0021669F">
        <w:rPr>
          <w:rFonts w:ascii="Times New Roman" w:eastAsia="Times New Roman" w:hAnsi="Times New Roman" w:cs="Times New Roman"/>
          <w:color w:val="auto"/>
          <w:lang w:bidi="ar-SA"/>
        </w:rPr>
        <w:t xml:space="preserve"> (Основание: п.8 СГС «Запасы»)</w:t>
      </w:r>
    </w:p>
    <w:p w:rsidR="00022A3C" w:rsidRPr="0021669F" w:rsidRDefault="00022A3C" w:rsidP="00022A3C">
      <w:pPr>
        <w:pStyle w:val="ad"/>
        <w:numPr>
          <w:ilvl w:val="0"/>
          <w:numId w:val="3"/>
        </w:numPr>
        <w:jc w:val="both"/>
        <w:rPr>
          <w:rFonts w:ascii="Times New Roman" w:eastAsia="Times New Roman" w:hAnsi="Times New Roman" w:cs="Times New Roman"/>
          <w:color w:val="auto"/>
          <w:lang w:bidi="ar-SA"/>
        </w:rPr>
      </w:pPr>
      <w:r w:rsidRPr="0021669F">
        <w:rPr>
          <w:rFonts w:ascii="Times New Roman" w:eastAsia="Times New Roman" w:hAnsi="Times New Roman" w:cs="Times New Roman"/>
          <w:b/>
          <w:color w:val="auto"/>
          <w:lang w:bidi="ar-SA"/>
        </w:rPr>
        <w:t>Раздел 3 Материальные запасы</w:t>
      </w:r>
      <w:r w:rsidRPr="0021669F">
        <w:rPr>
          <w:rFonts w:ascii="Times New Roman" w:eastAsia="Times New Roman" w:hAnsi="Times New Roman" w:cs="Times New Roman"/>
          <w:color w:val="auto"/>
          <w:lang w:bidi="ar-SA"/>
        </w:rPr>
        <w:t xml:space="preserve"> дополнить текстом следующего содержания:</w:t>
      </w:r>
    </w:p>
    <w:p w:rsidR="00FC3EFE" w:rsidRPr="0021669F" w:rsidRDefault="00022A3C" w:rsidP="00FC3EFE">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 xml:space="preserve">3.15. </w:t>
      </w:r>
      <w:r w:rsidR="003560EE" w:rsidRPr="0021669F">
        <w:rPr>
          <w:rFonts w:ascii="Times New Roman" w:eastAsia="Times New Roman" w:hAnsi="Times New Roman" w:cs="Times New Roman"/>
          <w:color w:val="auto"/>
          <w:lang w:bidi="ar-SA"/>
        </w:rPr>
        <w:t xml:space="preserve">Особенности учета </w:t>
      </w:r>
      <w:r w:rsidR="00FC3EFE" w:rsidRPr="0021669F">
        <w:rPr>
          <w:rFonts w:ascii="Times New Roman" w:eastAsia="Times New Roman" w:hAnsi="Times New Roman" w:cs="Times New Roman"/>
          <w:color w:val="auto"/>
          <w:lang w:bidi="ar-SA"/>
        </w:rPr>
        <w:t>дезинфицирующих средств и пере</w:t>
      </w:r>
      <w:r w:rsidR="0021669F" w:rsidRPr="0021669F">
        <w:rPr>
          <w:rFonts w:ascii="Times New Roman" w:eastAsia="Times New Roman" w:hAnsi="Times New Roman" w:cs="Times New Roman"/>
          <w:color w:val="auto"/>
          <w:lang w:bidi="ar-SA"/>
        </w:rPr>
        <w:t>вязочных материалов</w:t>
      </w:r>
      <w:r w:rsidR="00FC3EFE" w:rsidRPr="0021669F">
        <w:rPr>
          <w:rFonts w:ascii="Times New Roman" w:eastAsia="Times New Roman" w:hAnsi="Times New Roman" w:cs="Times New Roman"/>
          <w:color w:val="auto"/>
          <w:lang w:bidi="ar-SA"/>
        </w:rPr>
        <w:t>.</w:t>
      </w:r>
    </w:p>
    <w:p w:rsidR="00BF5CF2" w:rsidRDefault="00BF5CF2" w:rsidP="00FC3EFE">
      <w:pPr>
        <w:ind w:left="360"/>
        <w:jc w:val="both"/>
        <w:rPr>
          <w:rFonts w:ascii="Times New Roman" w:eastAsia="Times New Roman" w:hAnsi="Times New Roman" w:cs="Times New Roman"/>
          <w:color w:val="auto"/>
          <w:lang w:bidi="ar-SA"/>
        </w:rPr>
      </w:pPr>
      <w:r w:rsidRPr="0021669F">
        <w:rPr>
          <w:rFonts w:ascii="Times New Roman" w:eastAsia="Times New Roman" w:hAnsi="Times New Roman" w:cs="Times New Roman"/>
          <w:color w:val="auto"/>
          <w:lang w:bidi="ar-SA"/>
        </w:rPr>
        <w:t>Дальнейшее списание с бухгалтерского учета этих запасов осуществляется</w:t>
      </w:r>
      <w:r w:rsidR="00AC09BD" w:rsidRPr="0021669F">
        <w:rPr>
          <w:rFonts w:ascii="Times New Roman" w:eastAsia="Times New Roman" w:hAnsi="Times New Roman" w:cs="Times New Roman"/>
          <w:color w:val="auto"/>
          <w:lang w:bidi="ar-SA"/>
        </w:rPr>
        <w:t xml:space="preserve"> </w:t>
      </w:r>
      <w:r w:rsidRPr="0021669F">
        <w:rPr>
          <w:rFonts w:ascii="Times New Roman" w:eastAsia="Times New Roman" w:hAnsi="Times New Roman" w:cs="Times New Roman"/>
          <w:color w:val="auto"/>
          <w:lang w:bidi="ar-SA"/>
        </w:rPr>
        <w:t xml:space="preserve">в конце каждого </w:t>
      </w:r>
      <w:r w:rsidR="00FC3EFE" w:rsidRPr="0021669F">
        <w:rPr>
          <w:rFonts w:ascii="Times New Roman" w:eastAsia="Times New Roman" w:hAnsi="Times New Roman" w:cs="Times New Roman"/>
          <w:color w:val="auto"/>
          <w:lang w:bidi="ar-SA"/>
        </w:rPr>
        <w:t xml:space="preserve">месяца </w:t>
      </w:r>
      <w:r w:rsidRPr="0021669F">
        <w:rPr>
          <w:rFonts w:ascii="Times New Roman" w:eastAsia="Times New Roman" w:hAnsi="Times New Roman" w:cs="Times New Roman"/>
          <w:color w:val="auto"/>
          <w:lang w:bidi="ar-SA"/>
        </w:rPr>
        <w:t xml:space="preserve">на основании предоставленного Отчета </w:t>
      </w:r>
      <w:r w:rsidR="00FC3EFE" w:rsidRPr="0021669F">
        <w:rPr>
          <w:rFonts w:ascii="Times New Roman" w:eastAsia="Times New Roman" w:hAnsi="Times New Roman" w:cs="Times New Roman"/>
          <w:color w:val="auto"/>
          <w:lang w:bidi="ar-SA"/>
        </w:rPr>
        <w:t>аптеки о приходе и расходе аптечных товаров в денежном (суммовом) выражении</w:t>
      </w:r>
      <w:r w:rsidRPr="0021669F">
        <w:rPr>
          <w:rFonts w:ascii="Times New Roman" w:eastAsia="Times New Roman" w:hAnsi="Times New Roman" w:cs="Times New Roman"/>
          <w:color w:val="auto"/>
          <w:lang w:bidi="ar-SA"/>
        </w:rPr>
        <w:t xml:space="preserve"> с оформлением  Акта о списании материальных запасов</w:t>
      </w:r>
      <w:r w:rsidR="00FC3EFE" w:rsidRPr="0021669F">
        <w:rPr>
          <w:rFonts w:ascii="Times New Roman" w:eastAsia="Times New Roman" w:hAnsi="Times New Roman" w:cs="Times New Roman"/>
          <w:color w:val="auto"/>
          <w:lang w:bidi="ar-SA"/>
        </w:rPr>
        <w:t>.</w:t>
      </w:r>
    </w:p>
    <w:p w:rsidR="00F80A9B" w:rsidRDefault="00F80A9B" w:rsidP="00F80A9B">
      <w:pPr>
        <w:pStyle w:val="2"/>
        <w:jc w:val="both"/>
      </w:pPr>
      <w:r>
        <w:t>2. В Пункте 1.10 Раздела 1 Организационные положения слова по тексту «приказом Минкультуры России от 25.08.2010 N 558» заменить на «Приказом Федерального архивного агентства от 20 декабря 2019 г. N 236».</w:t>
      </w:r>
    </w:p>
    <w:p w:rsidR="00F80A9B" w:rsidRDefault="00F80A9B" w:rsidP="00F80A9B">
      <w:pPr>
        <w:pStyle w:val="2"/>
        <w:jc w:val="both"/>
      </w:pPr>
      <w:r>
        <w:t>3. Пункты 1.23.- 1.27. Раздела 1 Организационные положения читать в следующей редакции:</w:t>
      </w:r>
    </w:p>
    <w:p w:rsidR="00F80A9B" w:rsidRDefault="00F80A9B" w:rsidP="00F80A9B">
      <w:pPr>
        <w:pStyle w:val="2"/>
        <w:jc w:val="both"/>
      </w:pPr>
      <w:r>
        <w:t>1.23. 1-4 разряд номера счета отражает аналитический код раздела, подраздела.</w:t>
      </w:r>
    </w:p>
    <w:p w:rsidR="00F80A9B" w:rsidRDefault="00F80A9B" w:rsidP="00F80A9B">
      <w:pPr>
        <w:pStyle w:val="2"/>
        <w:jc w:val="both"/>
      </w:pPr>
      <w:r>
        <w:t>1.24. 5-14 разряд номера счета отражает код целевой статьи.</w:t>
      </w:r>
    </w:p>
    <w:p w:rsidR="00F80A9B" w:rsidRDefault="00F80A9B" w:rsidP="00F80A9B">
      <w:pPr>
        <w:pStyle w:val="2"/>
        <w:jc w:val="both"/>
      </w:pPr>
      <w:r>
        <w:t>1.25. 15-17 разряд номера счета отражает аналитический код вида поступлений от доходов, иных поступлений или аналитический код вида выбытий по расходам , иным выплатам.</w:t>
      </w:r>
    </w:p>
    <w:p w:rsidR="00F80A9B" w:rsidRDefault="00F80A9B" w:rsidP="00F80A9B">
      <w:pPr>
        <w:pStyle w:val="2"/>
        <w:jc w:val="both"/>
      </w:pPr>
      <w:r>
        <w:t>1.26. 18 разряд номера счета отражает код финансового обеспечения деятельности</w:t>
      </w:r>
    </w:p>
    <w:p w:rsidR="00F80A9B" w:rsidRDefault="00F80A9B" w:rsidP="00F80A9B">
      <w:pPr>
        <w:pStyle w:val="2"/>
        <w:jc w:val="both"/>
      </w:pPr>
      <w:r>
        <w:t>1.27. 19-21 разряд номера счета отражает код синтетического учета Плана счетов бухгалтерского (бюджетного) учета.</w:t>
      </w:r>
    </w:p>
    <w:p w:rsidR="00F80A9B" w:rsidRDefault="00F80A9B" w:rsidP="00F80A9B">
      <w:pPr>
        <w:pStyle w:val="2"/>
        <w:jc w:val="both"/>
      </w:pPr>
      <w:r>
        <w:t>1.28.  21-23 разряд номера счета отражает код аналитического счета Плана счетов бухгалтерского (бюджетного) учета. 24-26 разряд номера счета отражает код классификации операций сектора государственного управления.</w:t>
      </w:r>
    </w:p>
    <w:p w:rsidR="00F80A9B" w:rsidRDefault="00F80A9B" w:rsidP="00F80A9B">
      <w:pPr>
        <w:pStyle w:val="2"/>
        <w:jc w:val="both"/>
      </w:pPr>
      <w:r>
        <w:t>4. Пункт 1.32. Раздела 1 Организационные положения дополнить следующим текстом:</w:t>
      </w:r>
    </w:p>
    <w:p w:rsidR="00F80A9B" w:rsidRDefault="00F80A9B" w:rsidP="00F80A9B">
      <w:pPr>
        <w:pStyle w:val="2"/>
        <w:jc w:val="both"/>
      </w:pPr>
      <w:r>
        <w:t>При заполнении табеля учета рабочего времени применять следующие условные обозначения:</w:t>
      </w:r>
    </w:p>
    <w:p w:rsidR="00F80A9B" w:rsidRDefault="00F80A9B" w:rsidP="00F80A9B">
      <w:pPr>
        <w:pStyle w:val="2"/>
        <w:jc w:val="both"/>
      </w:pPr>
      <w:r>
        <w:t>Выходные и нерабочие праздничные дни –В;</w:t>
      </w:r>
    </w:p>
    <w:p w:rsidR="00F80A9B" w:rsidRDefault="00F80A9B" w:rsidP="00F80A9B">
      <w:pPr>
        <w:pStyle w:val="2"/>
        <w:jc w:val="both"/>
      </w:pPr>
      <w:r>
        <w:t>Работа в ночное время –Н,</w:t>
      </w:r>
    </w:p>
    <w:p w:rsidR="00F80A9B" w:rsidRDefault="00F80A9B" w:rsidP="00F80A9B">
      <w:pPr>
        <w:pStyle w:val="2"/>
        <w:jc w:val="both"/>
      </w:pPr>
      <w:r>
        <w:t>Очередные и дополнительные отпуска –О;</w:t>
      </w:r>
    </w:p>
    <w:p w:rsidR="00F80A9B" w:rsidRDefault="00F80A9B" w:rsidP="00F80A9B">
      <w:pPr>
        <w:pStyle w:val="2"/>
        <w:jc w:val="both"/>
      </w:pPr>
      <w:r>
        <w:t>Временная нетрудоспособность, нетрудоспособность по беременности и родам-Б;</w:t>
      </w:r>
    </w:p>
    <w:p w:rsidR="00F80A9B" w:rsidRDefault="00F80A9B" w:rsidP="00F80A9B">
      <w:pPr>
        <w:pStyle w:val="2"/>
        <w:jc w:val="both"/>
      </w:pPr>
      <w:r>
        <w:t>Отпуск по уходу за ребенком-ОР;</w:t>
      </w:r>
    </w:p>
    <w:p w:rsidR="00F80A9B" w:rsidRDefault="00F80A9B" w:rsidP="00F80A9B">
      <w:pPr>
        <w:pStyle w:val="2"/>
        <w:jc w:val="both"/>
      </w:pPr>
      <w:r>
        <w:t>Прогулы-П;</w:t>
      </w:r>
    </w:p>
    <w:p w:rsidR="00F80A9B" w:rsidRDefault="00F80A9B" w:rsidP="00F80A9B">
      <w:pPr>
        <w:pStyle w:val="2"/>
        <w:jc w:val="both"/>
      </w:pPr>
      <w:r>
        <w:t>Неявки с разрешения администрации-А;</w:t>
      </w:r>
    </w:p>
    <w:p w:rsidR="00F80A9B" w:rsidRDefault="00F80A9B" w:rsidP="00F80A9B">
      <w:pPr>
        <w:pStyle w:val="2"/>
        <w:jc w:val="both"/>
      </w:pPr>
      <w:r>
        <w:t>Учебный дополнительный отпуск-ОУ;</w:t>
      </w:r>
    </w:p>
    <w:p w:rsidR="00F80A9B" w:rsidRDefault="00F80A9B" w:rsidP="00F80A9B">
      <w:pPr>
        <w:pStyle w:val="2"/>
        <w:jc w:val="both"/>
      </w:pPr>
      <w:r>
        <w:lastRenderedPageBreak/>
        <w:t>Работа в выходные и нерабочие праздничные дни-РП, РВ;</w:t>
      </w:r>
    </w:p>
    <w:p w:rsidR="00F80A9B" w:rsidRDefault="00F80A9B" w:rsidP="00F80A9B">
      <w:pPr>
        <w:pStyle w:val="2"/>
        <w:jc w:val="both"/>
      </w:pPr>
      <w:r>
        <w:t>Фактически отработанные часы-Ф;</w:t>
      </w:r>
    </w:p>
    <w:p w:rsidR="00F80A9B" w:rsidRDefault="00F80A9B" w:rsidP="00F80A9B">
      <w:pPr>
        <w:pStyle w:val="2"/>
        <w:jc w:val="both"/>
      </w:pPr>
      <w:r>
        <w:t>Служебные командировки-К;</w:t>
      </w:r>
    </w:p>
    <w:p w:rsidR="00F80A9B" w:rsidRDefault="00F80A9B" w:rsidP="00F80A9B">
      <w:pPr>
        <w:pStyle w:val="2"/>
        <w:jc w:val="both"/>
      </w:pPr>
      <w:r>
        <w:t>Отпуск по диспансеризации –М;</w:t>
      </w:r>
    </w:p>
    <w:p w:rsidR="00F80A9B" w:rsidRDefault="00F80A9B" w:rsidP="00F80A9B">
      <w:pPr>
        <w:pStyle w:val="2"/>
        <w:jc w:val="both"/>
      </w:pPr>
      <w:r>
        <w:t>Военные сборы- ВС;</w:t>
      </w:r>
    </w:p>
    <w:p w:rsidR="00F80A9B" w:rsidRDefault="00F80A9B" w:rsidP="00F80A9B">
      <w:pPr>
        <w:pStyle w:val="2"/>
        <w:jc w:val="both"/>
      </w:pPr>
      <w:r>
        <w:t>Нерабочий оплачиваемый день –НОД;</w:t>
      </w:r>
    </w:p>
    <w:p w:rsidR="00210666" w:rsidRDefault="00F80A9B" w:rsidP="00F80A9B">
      <w:pPr>
        <w:pStyle w:val="2"/>
        <w:jc w:val="both"/>
      </w:pPr>
      <w:r>
        <w:t>Выполнение государственных обязанностей-Г.</w:t>
      </w:r>
    </w:p>
    <w:p w:rsidR="005D0B42" w:rsidRDefault="005D0B42" w:rsidP="00F80A9B">
      <w:pPr>
        <w:pStyle w:val="2"/>
        <w:jc w:val="both"/>
      </w:pPr>
    </w:p>
    <w:p w:rsidR="00AC351A" w:rsidRPr="001F5880" w:rsidRDefault="00AC351A" w:rsidP="00BA5D90">
      <w:pPr>
        <w:pStyle w:val="2"/>
        <w:numPr>
          <w:ilvl w:val="0"/>
          <w:numId w:val="2"/>
        </w:numPr>
        <w:jc w:val="both"/>
        <w:rPr>
          <w:b/>
        </w:rPr>
      </w:pPr>
      <w:r w:rsidRPr="001F5880">
        <w:rPr>
          <w:b/>
        </w:rPr>
        <w:t xml:space="preserve">Приложение №1 к Приказу от 30.12.2018г. № 156 дополнить </w:t>
      </w:r>
      <w:r w:rsidR="001F5880" w:rsidRPr="001F5880">
        <w:rPr>
          <w:b/>
        </w:rPr>
        <w:t xml:space="preserve">                                                                                               </w:t>
      </w:r>
      <w:r w:rsidRPr="001F5880">
        <w:rPr>
          <w:b/>
        </w:rPr>
        <w:t>Приложением №  14</w:t>
      </w:r>
      <w:r w:rsidR="001F5880">
        <w:rPr>
          <w:b/>
        </w:rPr>
        <w:t xml:space="preserve"> </w:t>
      </w:r>
      <w:r w:rsidR="001F5880">
        <w:t>следующего содержания:</w:t>
      </w:r>
    </w:p>
    <w:p w:rsidR="001F5880" w:rsidRPr="001F5880" w:rsidRDefault="001F5880" w:rsidP="001F5880">
      <w:pPr>
        <w:pStyle w:val="2"/>
        <w:ind w:left="720"/>
        <w:jc w:val="both"/>
        <w:rPr>
          <w:b/>
        </w:rPr>
      </w:pPr>
      <w:r>
        <w:rPr>
          <w:b/>
        </w:rPr>
        <w:t xml:space="preserve">                                                                                                       Приложение № 14</w:t>
      </w:r>
    </w:p>
    <w:p w:rsidR="00AC351A" w:rsidRPr="001F5880" w:rsidRDefault="00AC351A" w:rsidP="001F5880">
      <w:pPr>
        <w:pStyle w:val="2"/>
        <w:rPr>
          <w:b/>
        </w:rPr>
      </w:pPr>
      <w:r w:rsidRPr="001F5880">
        <w:rPr>
          <w:b/>
        </w:rPr>
        <w:t>Положение об электронных документах</w:t>
      </w:r>
    </w:p>
    <w:p w:rsidR="00AC351A" w:rsidRPr="001F5880" w:rsidRDefault="00AC351A" w:rsidP="00AC351A">
      <w:pPr>
        <w:pStyle w:val="2"/>
        <w:jc w:val="both"/>
        <w:rPr>
          <w:b/>
        </w:rPr>
      </w:pPr>
    </w:p>
    <w:p w:rsidR="00AC351A" w:rsidRDefault="00AC351A" w:rsidP="00AC351A">
      <w:pPr>
        <w:pStyle w:val="2"/>
        <w:jc w:val="both"/>
      </w:pPr>
      <w:r>
        <w:t>В соответствии с положениями ч. 5 ст. 9, ч. 6 ст. 10 Закона N 402-ФЗ, п. 32 Стандарта "Концептуальные основы...", приказов Минфина России от 30.03.2015 N 52н и от 15.04.2021 N 61н в Учреждении применяется следующий порядок формирования и применения первичных (сводных) учетных документов, регистров бухгалтерского учета:</w:t>
      </w:r>
    </w:p>
    <w:p w:rsidR="00AC351A" w:rsidRDefault="00AC351A" w:rsidP="00AC351A">
      <w:pPr>
        <w:pStyle w:val="2"/>
        <w:jc w:val="both"/>
      </w:pPr>
      <w:r>
        <w:t>1. 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w:t>
      </w:r>
    </w:p>
    <w:p w:rsidR="00AC351A" w:rsidRDefault="00AC351A" w:rsidP="00AC351A">
      <w:pPr>
        <w:pStyle w:val="2"/>
        <w:jc w:val="both"/>
      </w:pPr>
      <w:r>
        <w:t>2. Первичные (сводные) учетные документы, регистры бухгалтерского учета составляются по унифицированным формам документов, утвержденным:</w:t>
      </w:r>
    </w:p>
    <w:p w:rsidR="00AC351A" w:rsidRDefault="00AC351A" w:rsidP="00AC351A">
      <w:pPr>
        <w:pStyle w:val="2"/>
        <w:jc w:val="both"/>
      </w:pPr>
      <w:r>
        <w:t>а) приказом Минфина России от 30.03.2015 N 52н (с учетом действующих изменений и дополнений);</w:t>
      </w:r>
    </w:p>
    <w:p w:rsidR="00AC351A" w:rsidRDefault="00AC351A" w:rsidP="00AC351A">
      <w:pPr>
        <w:pStyle w:val="2"/>
        <w:jc w:val="both"/>
      </w:pPr>
      <w:r>
        <w:t>б) приказом Минфина России от 15.04.2021 N 61н (с учетом действующих изменений и дополнений).</w:t>
      </w:r>
    </w:p>
    <w:p w:rsidR="00AC351A" w:rsidRDefault="00AC351A" w:rsidP="00AC351A">
      <w:pPr>
        <w:pStyle w:val="2"/>
        <w:jc w:val="both"/>
      </w:pPr>
      <w:r>
        <w:t>3. 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(1С:Бухгалтерия) формирования электронных документов, формирование документов, указанных в п. 2 Положения, а также документов по неунифицированным формам, утвержденным Приложением N 2 к Учетной политике, осуществляется на бумажном носителе.</w:t>
      </w:r>
    </w:p>
    <w:p w:rsidR="00AC351A" w:rsidRDefault="00AC351A" w:rsidP="00AC351A">
      <w:pPr>
        <w:pStyle w:val="2"/>
        <w:jc w:val="both"/>
      </w:pPr>
      <w:r>
        <w:t xml:space="preserve">4. В Бухгалтерию передаются оригиналы первичных (сводных) учетных документов, сформированных на бумажном носителе. При наличии технической возможности осуществлять электронный документооборот с сотрудниками Учреждения с использованием информационной системы, обеспечивающей ведение бухгалтерского учета в Учреждении (СЭД), сотрудники Учреждения (ответственные лица) обязаны предоставлять в Бухгалтерию скан-копии первичных (сводных) учетных документов, содержащих собственноручные подписи (сформированных на бумажном носителе). Скан-копия первичного (сводного) учетного документа, сформированного на бумажном носителе, предоставляется в Бухгалтерию в случае отсутствия возможности лицом, ответственным за формирование и (или) предоставление документа на бумажном носителе, своевременно передать оригинал (подлинник) документа в Бухгалтерию. </w:t>
      </w:r>
      <w:r>
        <w:lastRenderedPageBreak/>
        <w:t>Ответственность за соответствие скан-копии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передачу такой скан-копии. Передача скан-копии первичного учетного документа осуществляется при условии ее подписания должностным лицом, ответственным за соответствие такой скан-копии подлиннику документа, квалифицированной электронной подписью (ЭЦП). Предоставление скан-копии не освобождает ответственных лиц от обязанности предоставить в Бухгалтерию оригинал первичного (сводного) учетного документа, сформированного на бумажном носителе.</w:t>
      </w:r>
    </w:p>
    <w:p w:rsidR="00AC351A" w:rsidRDefault="00AC351A" w:rsidP="00AC351A">
      <w:pPr>
        <w:pStyle w:val="2"/>
        <w:jc w:val="both"/>
      </w:pPr>
      <w:r>
        <w:t>5. Переход на формирование унифицированных форм электронных документов в виде электронных документов, подписанных электронной подписью, осуществляется по факту технологической готовности информационной системы, обеспечивающей ведение бухгалтерского учета в Учреждении (1С:Бухгалтерия).</w:t>
      </w:r>
    </w:p>
    <w:p w:rsidR="00AC351A" w:rsidRDefault="00AC351A" w:rsidP="00AC351A">
      <w:pPr>
        <w:pStyle w:val="2"/>
        <w:jc w:val="both"/>
      </w:pPr>
      <w:r>
        <w:t>6. Установить, что обязательному применению в 2024 году подлежат следующие первичные учетные документы:</w:t>
      </w:r>
    </w:p>
    <w:p w:rsidR="00AC351A" w:rsidRDefault="00AC351A" w:rsidP="00AC351A">
      <w:pPr>
        <w:pStyle w:val="2"/>
        <w:jc w:val="both"/>
      </w:pPr>
      <w:r>
        <w:t>- Акт об утилизации (уничтожении) материальных ценностей (ф. 0510435);</w:t>
      </w:r>
    </w:p>
    <w:p w:rsidR="00AC351A" w:rsidRDefault="00AC351A" w:rsidP="00AC351A">
      <w:pPr>
        <w:pStyle w:val="2"/>
        <w:jc w:val="both"/>
      </w:pPr>
      <w:r>
        <w:t>- Решение о прекращении признания активами объектов нефинансовых активов (ф. 0510440);</w:t>
      </w:r>
    </w:p>
    <w:p w:rsidR="00AC351A" w:rsidRDefault="00AC351A" w:rsidP="00AC351A">
      <w:pPr>
        <w:pStyle w:val="2"/>
        <w:jc w:val="both"/>
      </w:pPr>
      <w:r>
        <w:t>- Акт о консервации (расконсервации) объекта основных средств (ф. 0510433);</w:t>
      </w:r>
    </w:p>
    <w:p w:rsidR="00AC351A" w:rsidRDefault="00AC351A" w:rsidP="00AC351A">
      <w:pPr>
        <w:pStyle w:val="2"/>
        <w:jc w:val="both"/>
      </w:pPr>
      <w:r>
        <w:t>- Карточка учета имущества в личном пользовании (ф. 0509097);</w:t>
      </w:r>
    </w:p>
    <w:p w:rsidR="00AC351A" w:rsidRDefault="00AC351A" w:rsidP="00AC351A">
      <w:pPr>
        <w:pStyle w:val="2"/>
        <w:jc w:val="both"/>
      </w:pPr>
      <w:r>
        <w:t>- Решение о признании объектов нефинансовых активов (ф. 0510441);</w:t>
      </w:r>
    </w:p>
    <w:p w:rsidR="00AC351A" w:rsidRDefault="00AC351A" w:rsidP="00AC351A">
      <w:pPr>
        <w:pStyle w:val="2"/>
        <w:jc w:val="both"/>
      </w:pPr>
      <w:r>
        <w:t>- Отчет о расходах подотчетного лица (ф. 0504520).</w:t>
      </w:r>
    </w:p>
    <w:p w:rsidR="00AC351A" w:rsidRDefault="00AC351A" w:rsidP="00AC351A">
      <w:pPr>
        <w:pStyle w:val="2"/>
        <w:jc w:val="both"/>
      </w:pPr>
      <w:r>
        <w:t xml:space="preserve">7. При условии технологической готовности информационной системы, обеспечивающей ведение бухгалтерского учета в Учреждении (1С:Бухгалтерия) ввести в действие график Электронного документооборота. </w:t>
      </w:r>
    </w:p>
    <w:p w:rsidR="00AC351A" w:rsidRDefault="00AC351A" w:rsidP="00AC351A">
      <w:pPr>
        <w:pStyle w:val="2"/>
        <w:jc w:val="both"/>
      </w:pPr>
    </w:p>
    <w:p w:rsidR="00AC351A" w:rsidRDefault="00AC351A" w:rsidP="00AC351A">
      <w:pPr>
        <w:pStyle w:val="2"/>
        <w:jc w:val="both"/>
      </w:pPr>
      <w:r>
        <w:tab/>
      </w:r>
    </w:p>
    <w:p w:rsidR="00AC351A" w:rsidRDefault="00AC351A" w:rsidP="00AC351A">
      <w:pPr>
        <w:pStyle w:val="2"/>
        <w:jc w:val="both"/>
      </w:pPr>
    </w:p>
    <w:p w:rsidR="00AC351A" w:rsidRDefault="00AC351A" w:rsidP="00AC351A">
      <w:pPr>
        <w:pStyle w:val="2"/>
        <w:jc w:val="both"/>
      </w:pPr>
      <w:r>
        <w:t>6. Приложение №1 к Приказу от 30.12.2018г. № 156 дополнить Приложением № 15 следующего содержания:</w:t>
      </w:r>
    </w:p>
    <w:p w:rsidR="00AC351A" w:rsidRPr="00586367" w:rsidRDefault="00586367" w:rsidP="00AC351A">
      <w:pPr>
        <w:pStyle w:val="2"/>
        <w:jc w:val="both"/>
        <w:rPr>
          <w:b/>
        </w:rPr>
      </w:pPr>
      <w:r w:rsidRPr="00586367">
        <w:rPr>
          <w:b/>
        </w:rPr>
        <w:t xml:space="preserve">                                                                                                                         </w:t>
      </w:r>
      <w:r w:rsidR="00AC351A" w:rsidRPr="00586367">
        <w:rPr>
          <w:b/>
        </w:rPr>
        <w:t>Приложение N 15</w:t>
      </w:r>
    </w:p>
    <w:p w:rsidR="00AC351A" w:rsidRPr="00586367" w:rsidRDefault="00AC351A" w:rsidP="00AC351A">
      <w:pPr>
        <w:pStyle w:val="2"/>
        <w:jc w:val="both"/>
        <w:rPr>
          <w:b/>
        </w:rPr>
      </w:pPr>
    </w:p>
    <w:p w:rsidR="00AC351A" w:rsidRPr="00586367" w:rsidRDefault="00AC351A" w:rsidP="00586367">
      <w:pPr>
        <w:pStyle w:val="2"/>
        <w:rPr>
          <w:b/>
        </w:rPr>
      </w:pPr>
      <w:r w:rsidRPr="00586367">
        <w:rPr>
          <w:b/>
        </w:rPr>
        <w:t>ПОЛОЖЕНИЕ</w:t>
      </w:r>
    </w:p>
    <w:p w:rsidR="00AC351A" w:rsidRPr="00586367" w:rsidRDefault="00AC351A" w:rsidP="00586367">
      <w:pPr>
        <w:pStyle w:val="2"/>
        <w:rPr>
          <w:b/>
        </w:rPr>
      </w:pPr>
      <w:r w:rsidRPr="00586367">
        <w:rPr>
          <w:b/>
        </w:rPr>
        <w:t>о признании дебиторской задолженности сомнительной</w:t>
      </w:r>
    </w:p>
    <w:p w:rsidR="00AC351A" w:rsidRPr="00586367" w:rsidRDefault="00AC351A" w:rsidP="00586367">
      <w:pPr>
        <w:pStyle w:val="2"/>
        <w:rPr>
          <w:b/>
        </w:rPr>
      </w:pPr>
      <w:r w:rsidRPr="00586367">
        <w:rPr>
          <w:b/>
        </w:rPr>
        <w:t>или безнадежной к взысканию</w:t>
      </w:r>
    </w:p>
    <w:p w:rsidR="00AC351A" w:rsidRDefault="00AC351A" w:rsidP="00AC351A">
      <w:pPr>
        <w:pStyle w:val="2"/>
        <w:jc w:val="both"/>
      </w:pPr>
    </w:p>
    <w:p w:rsidR="00AC351A" w:rsidRDefault="00AC351A" w:rsidP="00AC351A">
      <w:pPr>
        <w:pStyle w:val="2"/>
        <w:jc w:val="both"/>
      </w:pPr>
    </w:p>
    <w:p w:rsidR="00AC351A" w:rsidRDefault="00AC351A" w:rsidP="00AC351A">
      <w:pPr>
        <w:pStyle w:val="2"/>
        <w:jc w:val="both"/>
      </w:pPr>
      <w:r>
        <w:t>1. Общие положения</w:t>
      </w:r>
    </w:p>
    <w:p w:rsidR="00AC351A" w:rsidRDefault="00AC351A" w:rsidP="00AC351A">
      <w:pPr>
        <w:pStyle w:val="2"/>
        <w:jc w:val="both"/>
      </w:pPr>
      <w:r>
        <w:t>1.1. Настоящее Положение разработано в соответствии с Гражданским Кодексом, Законом от 02.10.2007 № 229-ФЗ "Об исполнительном производстве" и приказом Минфина от 27.02.2018 № 32н "Об утверждении федерального стандарта бухгалтерского учета для организаций государственного сектора "Доходы".</w:t>
      </w:r>
    </w:p>
    <w:p w:rsidR="00AC351A" w:rsidRDefault="00AC351A" w:rsidP="00AC351A">
      <w:pPr>
        <w:pStyle w:val="2"/>
        <w:jc w:val="both"/>
      </w:pPr>
      <w:r>
        <w:t xml:space="preserve">1.2. Положение устанавливает правила и условия признания сомнительной или безнадежной к взысканию дебиторской задолженности ФГБУ ТС «Выборг-3» Минздрава </w:t>
      </w:r>
      <w:r>
        <w:lastRenderedPageBreak/>
        <w:t>России.</w:t>
      </w:r>
    </w:p>
    <w:p w:rsidR="00AC351A" w:rsidRDefault="00AC351A" w:rsidP="00AC351A">
      <w:pPr>
        <w:pStyle w:val="2"/>
        <w:jc w:val="both"/>
      </w:pPr>
    </w:p>
    <w:p w:rsidR="00AC351A" w:rsidRDefault="00AC351A" w:rsidP="00AC351A">
      <w:pPr>
        <w:pStyle w:val="2"/>
        <w:jc w:val="both"/>
      </w:pPr>
      <w:r>
        <w:t>2.</w:t>
      </w:r>
      <w:r>
        <w:tab/>
        <w:t xml:space="preserve">Критерии признания дебиторской задолженности сомнительной </w:t>
      </w:r>
    </w:p>
    <w:p w:rsidR="00AC351A" w:rsidRDefault="00AC351A" w:rsidP="00AC351A">
      <w:pPr>
        <w:pStyle w:val="2"/>
        <w:jc w:val="both"/>
      </w:pPr>
      <w:r>
        <w:t>или безнадежной к взысканию</w:t>
      </w:r>
    </w:p>
    <w:p w:rsidR="00AC351A" w:rsidRDefault="00AC351A" w:rsidP="00AC351A">
      <w:pPr>
        <w:pStyle w:val="2"/>
        <w:jc w:val="both"/>
      </w:pPr>
      <w: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AC351A" w:rsidRDefault="00AC351A" w:rsidP="00AC351A">
      <w:pPr>
        <w:pStyle w:val="2"/>
        <w:jc w:val="both"/>
      </w:pPr>
      <w:r>
        <w:t>2.2. Основанием для признания дебиторской задолженности безнадежной к взысканию является:</w:t>
      </w:r>
    </w:p>
    <w:p w:rsidR="00AC351A" w:rsidRDefault="00AC351A" w:rsidP="00AC351A">
      <w:pPr>
        <w:pStyle w:val="2"/>
        <w:jc w:val="both"/>
      </w:pPr>
      <w:r>
        <w:t>– ликвидация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AC351A" w:rsidRDefault="00AC351A" w:rsidP="00AC351A">
      <w:pPr>
        <w:pStyle w:val="2"/>
        <w:jc w:val="both"/>
      </w:pPr>
      <w:r>
        <w:t xml:space="preserve"> –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AC351A" w:rsidRDefault="00AC351A" w:rsidP="00AC351A">
      <w:pPr>
        <w:pStyle w:val="2"/>
        <w:jc w:val="both"/>
      </w:pPr>
      <w:r>
        <w:t xml:space="preserve"> –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AC351A" w:rsidRDefault="00AC351A" w:rsidP="00AC351A">
      <w:pPr>
        <w:pStyle w:val="2"/>
        <w:jc w:val="both"/>
      </w:pPr>
      <w: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AC351A" w:rsidRDefault="00AC351A" w:rsidP="00AC351A">
      <w:pPr>
        <w:pStyle w:val="2"/>
        <w:jc w:val="both"/>
      </w:pPr>
      <w:r>
        <w:t xml:space="preserve"> – вступление в силу решения суда об отказе в удовлетворении требований (части требований) заявителя о взыскании задолженности;</w:t>
      </w:r>
    </w:p>
    <w:p w:rsidR="00AC351A" w:rsidRDefault="00AC351A" w:rsidP="00AC351A">
      <w:pPr>
        <w:pStyle w:val="2"/>
        <w:jc w:val="both"/>
      </w:pPr>
      <w:r>
        <w:t xml:space="preserve"> –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AC351A" w:rsidRDefault="00AC351A" w:rsidP="00AC351A">
      <w:pPr>
        <w:pStyle w:val="2"/>
        <w:jc w:val="both"/>
      </w:pPr>
      <w:r>
        <w:t xml:space="preserve"> – истечение срока исковой давности, если принимаемые ФГБУ </w:t>
      </w:r>
      <w:r w:rsidR="001F5880">
        <w:t>Т</w:t>
      </w:r>
      <w:r>
        <w:t>С «</w:t>
      </w:r>
      <w:r w:rsidR="001F5880">
        <w:t>Выборг-3</w:t>
      </w:r>
      <w:r>
        <w:t>» Минздрава России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AC351A" w:rsidRDefault="00AC351A" w:rsidP="00AC351A">
      <w:pPr>
        <w:pStyle w:val="2"/>
        <w:jc w:val="both"/>
      </w:pPr>
      <w:r>
        <w:t xml:space="preserve"> –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AC351A" w:rsidRDefault="00AC351A" w:rsidP="00AC351A">
      <w:pPr>
        <w:pStyle w:val="2"/>
        <w:jc w:val="both"/>
      </w:pPr>
      <w:r>
        <w:t>2.3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rsidR="00AC351A" w:rsidRDefault="00AC351A" w:rsidP="00AC351A">
      <w:pPr>
        <w:pStyle w:val="2"/>
        <w:jc w:val="both"/>
      </w:pPr>
      <w:r>
        <w:t>– отсутствие обеспечения долга залогом, задатком, поручительством, банковской гарантией и т. п.;</w:t>
      </w:r>
    </w:p>
    <w:p w:rsidR="00AC351A" w:rsidRDefault="00AC351A" w:rsidP="00AC351A">
      <w:pPr>
        <w:pStyle w:val="2"/>
        <w:jc w:val="both"/>
      </w:pPr>
      <w:r>
        <w:t xml:space="preserve"> –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rsidR="00AC351A" w:rsidRDefault="00AC351A" w:rsidP="00AC351A">
      <w:pPr>
        <w:pStyle w:val="2"/>
        <w:jc w:val="both"/>
      </w:pPr>
      <w:r>
        <w:t xml:space="preserve"> – возбуждение процедуры банкротства в отношении должника;</w:t>
      </w:r>
    </w:p>
    <w:p w:rsidR="00AC351A" w:rsidRDefault="00AC351A" w:rsidP="00AC351A">
      <w:pPr>
        <w:pStyle w:val="2"/>
        <w:jc w:val="both"/>
      </w:pPr>
      <w:r>
        <w:t xml:space="preserve"> – возбуждение процесса ликвидации должника;</w:t>
      </w:r>
    </w:p>
    <w:p w:rsidR="00AC351A" w:rsidRDefault="00AC351A" w:rsidP="00AC351A">
      <w:pPr>
        <w:pStyle w:val="2"/>
        <w:jc w:val="both"/>
      </w:pPr>
      <w:r>
        <w:lastRenderedPageBreak/>
        <w:t xml:space="preserve"> – регистрация должника по адресу массовой регистрации;</w:t>
      </w:r>
    </w:p>
    <w:p w:rsidR="00AC351A" w:rsidRDefault="00AC351A" w:rsidP="00AC351A">
      <w:pPr>
        <w:pStyle w:val="2"/>
        <w:jc w:val="both"/>
      </w:pPr>
      <w: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rsidR="00AC351A" w:rsidRDefault="00AC351A" w:rsidP="00AC351A">
      <w:pPr>
        <w:pStyle w:val="2"/>
        <w:jc w:val="both"/>
      </w:pPr>
      <w:r>
        <w:t>2.4. Не признаются сомнительными:</w:t>
      </w:r>
    </w:p>
    <w:p w:rsidR="00AC351A" w:rsidRDefault="00AC351A" w:rsidP="00AC351A">
      <w:pPr>
        <w:pStyle w:val="2"/>
        <w:jc w:val="both"/>
      </w:pPr>
      <w:r>
        <w:t>– обязательство должника, просрочка исполнения которого не превышает 30 дней;</w:t>
      </w:r>
    </w:p>
    <w:p w:rsidR="00AC351A" w:rsidRDefault="00AC351A" w:rsidP="00AC351A">
      <w:pPr>
        <w:pStyle w:val="2"/>
        <w:jc w:val="both"/>
      </w:pPr>
      <w:r>
        <w:t xml:space="preserve"> – задолженность заказчиков по договорам оказания услуг или выполнения работ, по которым срок действия договора не истек.</w:t>
      </w:r>
    </w:p>
    <w:p w:rsidR="00AC351A" w:rsidRDefault="00AC351A" w:rsidP="00AC351A">
      <w:pPr>
        <w:pStyle w:val="2"/>
        <w:jc w:val="both"/>
      </w:pPr>
    </w:p>
    <w:p w:rsidR="00AC351A" w:rsidRDefault="00AC351A" w:rsidP="00AC351A">
      <w:pPr>
        <w:pStyle w:val="2"/>
        <w:jc w:val="both"/>
      </w:pPr>
      <w:r>
        <w:t>3.</w:t>
      </w:r>
      <w:r>
        <w:tab/>
        <w:t xml:space="preserve">Порядок признания дебиторской задолженности сомнительной </w:t>
      </w:r>
    </w:p>
    <w:p w:rsidR="00AC351A" w:rsidRDefault="00AC351A" w:rsidP="00AC351A">
      <w:pPr>
        <w:pStyle w:val="2"/>
        <w:jc w:val="both"/>
      </w:pPr>
      <w:r>
        <w:t>или безнадежной к взысканию</w:t>
      </w:r>
    </w:p>
    <w:p w:rsidR="00AC351A" w:rsidRDefault="00AC351A" w:rsidP="00AC351A">
      <w:pPr>
        <w:pStyle w:val="2"/>
        <w:jc w:val="both"/>
      </w:pPr>
      <w:r>
        <w:t>3.1. Решение о признании дебиторской задолженности сомнительной или безнадежной к  взысканию принимает комиссия по поступлению и выбытию активов. 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 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 Заседание комиссии проводится на следующий рабочий день после поступления служебной записки от главного бухгалтера.</w:t>
      </w:r>
    </w:p>
    <w:p w:rsidR="00AC351A" w:rsidRDefault="00AC351A" w:rsidP="00AC351A">
      <w:pPr>
        <w:pStyle w:val="2"/>
        <w:jc w:val="both"/>
      </w:pPr>
      <w: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 При необходимости запрашивает у главного бухгалтера другие документы и разъяснения;</w:t>
      </w:r>
    </w:p>
    <w:p w:rsidR="00AC351A" w:rsidRDefault="00AC351A" w:rsidP="00AC351A">
      <w:pPr>
        <w:pStyle w:val="2"/>
        <w:jc w:val="both"/>
      </w:pPr>
      <w: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AC351A" w:rsidRDefault="00AC351A" w:rsidP="00AC351A">
      <w:pPr>
        <w:pStyle w:val="2"/>
        <w:jc w:val="both"/>
      </w:pPr>
      <w: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C351A" w:rsidRDefault="00AC351A" w:rsidP="00AC351A">
      <w:pPr>
        <w:pStyle w:val="2"/>
        <w:jc w:val="both"/>
      </w:pPr>
      <w:r>
        <w:t>3.5. Для признания дебиторской задолженности сомнительной или безнадежной к взысканию необходимы следующие документы:</w:t>
      </w:r>
    </w:p>
    <w:p w:rsidR="00AC351A" w:rsidRDefault="00AC351A" w:rsidP="00AC351A">
      <w:pPr>
        <w:pStyle w:val="2"/>
        <w:jc w:val="both"/>
      </w:pPr>
      <w:r>
        <w:t>а) выписка из бухгалтерской отчетности учреждения (форма 0503769, Извлечение из Справки о наличии имущества и обязательств на забалансовых счетах к Балансу государственного (муниципального) учреждения (ф. 0503730);</w:t>
      </w:r>
    </w:p>
    <w:p w:rsidR="00AC351A" w:rsidRDefault="00AC351A" w:rsidP="00AC351A">
      <w:pPr>
        <w:pStyle w:val="2"/>
        <w:jc w:val="both"/>
      </w:pPr>
      <w:r>
        <w:t>б) справка о принятых мерах по взысканию задолженности;</w:t>
      </w:r>
    </w:p>
    <w:p w:rsidR="00AC351A" w:rsidRDefault="00AC351A" w:rsidP="00AC351A">
      <w:pPr>
        <w:pStyle w:val="2"/>
        <w:jc w:val="both"/>
      </w:pPr>
      <w:r>
        <w:t>в) документы, подтверждающие случаи признания задолженности безнадежной к взысканию:</w:t>
      </w:r>
    </w:p>
    <w:p w:rsidR="00AC351A" w:rsidRDefault="00AC351A" w:rsidP="00AC351A">
      <w:pPr>
        <w:pStyle w:val="2"/>
        <w:jc w:val="both"/>
      </w:pPr>
      <w:r>
        <w:t>– документ, содержащий сведения из ЕГРЮЛ о ликвидации юридического лица или об отсутствии сведений о юридическом лице в ЕГРЮЛ;</w:t>
      </w:r>
    </w:p>
    <w:p w:rsidR="00AC351A" w:rsidRDefault="00AC351A" w:rsidP="00AC351A">
      <w:pPr>
        <w:pStyle w:val="2"/>
        <w:jc w:val="both"/>
      </w:pPr>
      <w:r>
        <w:lastRenderedPageBreak/>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AC351A" w:rsidRDefault="00AC351A" w:rsidP="00AC351A">
      <w:pPr>
        <w:pStyle w:val="2"/>
        <w:jc w:val="both"/>
      </w:pPr>
      <w:r>
        <w:t xml:space="preserve"> –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AC351A" w:rsidRDefault="00AC351A" w:rsidP="00AC351A">
      <w:pPr>
        <w:pStyle w:val="2"/>
        <w:jc w:val="both"/>
      </w:pPr>
      <w:r>
        <w:t xml:space="preserve"> – копия постановления о прекращении исполнительного производства;</w:t>
      </w:r>
    </w:p>
    <w:p w:rsidR="00AC351A" w:rsidRDefault="00AC351A" w:rsidP="00AC351A">
      <w:pPr>
        <w:pStyle w:val="2"/>
        <w:jc w:val="both"/>
      </w:pPr>
      <w:r>
        <w:t xml:space="preserve"> – копия решения суда об отказе в удовлетворении требований (части требований) о взыскании задолженности с должника;</w:t>
      </w:r>
    </w:p>
    <w:p w:rsidR="00AC351A" w:rsidRDefault="00AC351A" w:rsidP="00AC351A">
      <w:pPr>
        <w:pStyle w:val="2"/>
        <w:jc w:val="both"/>
      </w:pPr>
      <w: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AC351A" w:rsidRDefault="00AC351A" w:rsidP="00AC351A">
      <w:pPr>
        <w:pStyle w:val="2"/>
        <w:jc w:val="both"/>
      </w:pPr>
      <w:r>
        <w:t xml:space="preserve"> –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
    <w:p w:rsidR="00AC351A" w:rsidRDefault="00AC351A" w:rsidP="00AC351A">
      <w:pPr>
        <w:pStyle w:val="2"/>
        <w:jc w:val="both"/>
      </w:pPr>
      <w:r>
        <w:t xml:space="preserve"> –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AC351A" w:rsidRDefault="00AC351A" w:rsidP="00AC351A">
      <w:pPr>
        <w:pStyle w:val="2"/>
        <w:jc w:val="both"/>
      </w:pPr>
      <w:r>
        <w:t xml:space="preserve"> – документ, содержащий сведения уполномоченного органа о наступлении чрезвычайных или других непредвиденных обстоятельств;</w:t>
      </w:r>
    </w:p>
    <w:p w:rsidR="00AC351A" w:rsidRDefault="00AC351A" w:rsidP="00AC351A">
      <w:pPr>
        <w:pStyle w:val="2"/>
        <w:jc w:val="both"/>
      </w:pPr>
      <w: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C351A" w:rsidRDefault="00AC351A" w:rsidP="00AC351A">
      <w:pPr>
        <w:pStyle w:val="2"/>
        <w:jc w:val="both"/>
      </w:pPr>
      <w:r>
        <w:t>г) документы, подтверждающие случаи признания задолженности сомнительной:</w:t>
      </w:r>
    </w:p>
    <w:p w:rsidR="00AC351A" w:rsidRDefault="00AC351A" w:rsidP="00AC351A">
      <w:pPr>
        <w:pStyle w:val="2"/>
        <w:jc w:val="both"/>
      </w:pPr>
      <w:r>
        <w:t>– договор с контрагентом, выписка из него или копия договора;</w:t>
      </w:r>
    </w:p>
    <w:p w:rsidR="00AC351A" w:rsidRDefault="00AC351A" w:rsidP="00AC351A">
      <w:pPr>
        <w:pStyle w:val="2"/>
        <w:jc w:val="both"/>
      </w:pPr>
      <w:r>
        <w:t xml:space="preserve"> –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w:t>
      </w:r>
    </w:p>
    <w:p w:rsidR="00AC351A" w:rsidRDefault="00AC351A" w:rsidP="00AC351A">
      <w:pPr>
        <w:pStyle w:val="2"/>
        <w:jc w:val="both"/>
      </w:pPr>
      <w:r>
        <w:t xml:space="preserve"> –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rsidR="00AC351A" w:rsidRDefault="00AC351A" w:rsidP="00AC351A">
      <w:pPr>
        <w:pStyle w:val="2"/>
        <w:jc w:val="both"/>
      </w:pPr>
      <w:r>
        <w:t>3.6. Решение комиссии по поступлению и выбытию активов о признании задолженности сомнительной или безнадежной к взысканию оформляется актом, содержащим следующую информацию:</w:t>
      </w:r>
    </w:p>
    <w:p w:rsidR="00AC351A" w:rsidRDefault="00AC351A" w:rsidP="00AC351A">
      <w:pPr>
        <w:pStyle w:val="2"/>
        <w:jc w:val="both"/>
      </w:pPr>
      <w:r>
        <w:t>– полное наименование учреждения;</w:t>
      </w:r>
    </w:p>
    <w:p w:rsidR="00AC351A" w:rsidRDefault="00AC351A" w:rsidP="00AC351A">
      <w:pPr>
        <w:pStyle w:val="2"/>
        <w:jc w:val="both"/>
      </w:pPr>
      <w:r>
        <w:t xml:space="preserve"> –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AC351A" w:rsidRDefault="00AC351A" w:rsidP="00AC351A">
      <w:pPr>
        <w:pStyle w:val="2"/>
        <w:jc w:val="both"/>
      </w:pPr>
      <w:r>
        <w:t xml:space="preserve"> – реквизиты документов, по которым возникла дебиторская задолженность, – платежных документов, накладных, актов выполненных работ и т. д.;</w:t>
      </w:r>
    </w:p>
    <w:p w:rsidR="00AC351A" w:rsidRDefault="00AC351A" w:rsidP="00AC351A">
      <w:pPr>
        <w:pStyle w:val="2"/>
        <w:jc w:val="both"/>
      </w:pPr>
      <w:r>
        <w:t xml:space="preserve"> – сумма дебиторской задолженности, признанной сомнительной или безнадежной к взысканию;</w:t>
      </w:r>
    </w:p>
    <w:p w:rsidR="00AC351A" w:rsidRDefault="00AC351A" w:rsidP="00AC351A">
      <w:pPr>
        <w:pStyle w:val="2"/>
        <w:jc w:val="both"/>
      </w:pPr>
      <w:r>
        <w:t xml:space="preserve"> – дата принятия решения о признании дебиторской задолженности сомнительной или безнадежной к взысканию;</w:t>
      </w:r>
    </w:p>
    <w:p w:rsidR="00AC351A" w:rsidRDefault="00AC351A" w:rsidP="00AC351A">
      <w:pPr>
        <w:pStyle w:val="2"/>
        <w:jc w:val="both"/>
      </w:pPr>
      <w:r>
        <w:lastRenderedPageBreak/>
        <w:t xml:space="preserve"> – подписи членов комиссии.</w:t>
      </w:r>
    </w:p>
    <w:p w:rsidR="00AC351A" w:rsidRDefault="00AC351A" w:rsidP="00AC351A">
      <w:pPr>
        <w:pStyle w:val="2"/>
        <w:jc w:val="both"/>
      </w:pPr>
      <w:r>
        <w:t>Решение комиссии о признании дебиторской задолженности сомнительной или безнадежной к взысканию утверждается главным врачом ФГБУ ТС «Выборг-3» Минздрава России.</w:t>
      </w:r>
    </w:p>
    <w:p w:rsidR="00AC351A" w:rsidRDefault="00AC351A" w:rsidP="00AC351A">
      <w:pPr>
        <w:pStyle w:val="2"/>
        <w:jc w:val="both"/>
      </w:pPr>
    </w:p>
    <w:p w:rsidR="00AC351A" w:rsidRDefault="00AC351A" w:rsidP="00AC351A">
      <w:pPr>
        <w:pStyle w:val="2"/>
        <w:jc w:val="both"/>
      </w:pPr>
      <w:r>
        <w:t>7. Приложение №1 к Приказу от 30.12.2018г. № 156 дополнить Приложением № 16 следующего содержания:</w:t>
      </w:r>
    </w:p>
    <w:p w:rsidR="00AC351A" w:rsidRDefault="00AC351A" w:rsidP="00AC351A">
      <w:pPr>
        <w:pStyle w:val="2"/>
        <w:jc w:val="both"/>
      </w:pPr>
    </w:p>
    <w:p w:rsidR="00AC351A" w:rsidRPr="00586367" w:rsidRDefault="00586367" w:rsidP="00AC351A">
      <w:pPr>
        <w:pStyle w:val="2"/>
        <w:jc w:val="both"/>
        <w:rPr>
          <w:b/>
        </w:rPr>
      </w:pPr>
      <w:r>
        <w:rPr>
          <w:b/>
        </w:rPr>
        <w:t xml:space="preserve">                                                                                                                    </w:t>
      </w:r>
      <w:r w:rsidR="00AC351A" w:rsidRPr="00586367">
        <w:rPr>
          <w:b/>
        </w:rPr>
        <w:t>Приложение N 16</w:t>
      </w:r>
    </w:p>
    <w:p w:rsidR="00AC351A" w:rsidRPr="00586367" w:rsidRDefault="00AC351A" w:rsidP="00AC351A">
      <w:pPr>
        <w:pStyle w:val="2"/>
        <w:jc w:val="both"/>
        <w:rPr>
          <w:b/>
        </w:rPr>
      </w:pPr>
    </w:p>
    <w:p w:rsidR="00AC351A" w:rsidRPr="00586367" w:rsidRDefault="00AC351A" w:rsidP="00586367">
      <w:pPr>
        <w:pStyle w:val="2"/>
        <w:rPr>
          <w:b/>
        </w:rPr>
      </w:pPr>
      <w:r w:rsidRPr="00586367">
        <w:rPr>
          <w:b/>
        </w:rPr>
        <w:t>ПОЛОЖЕНИЕ</w:t>
      </w:r>
    </w:p>
    <w:p w:rsidR="00AC351A" w:rsidRPr="00586367" w:rsidRDefault="00AC351A" w:rsidP="00586367">
      <w:pPr>
        <w:pStyle w:val="2"/>
        <w:rPr>
          <w:b/>
        </w:rPr>
      </w:pPr>
      <w:r w:rsidRPr="00586367">
        <w:rPr>
          <w:b/>
        </w:rPr>
        <w:t>о признании кредиторской задолженности невостребованной</w:t>
      </w:r>
    </w:p>
    <w:p w:rsidR="00AC351A" w:rsidRDefault="00AC351A" w:rsidP="00AC351A">
      <w:pPr>
        <w:pStyle w:val="2"/>
        <w:jc w:val="both"/>
      </w:pPr>
    </w:p>
    <w:p w:rsidR="00AC351A" w:rsidRDefault="00AC351A" w:rsidP="00AC351A">
      <w:pPr>
        <w:pStyle w:val="2"/>
        <w:jc w:val="both"/>
      </w:pPr>
      <w:r>
        <w:t>1. Общие положения</w:t>
      </w:r>
    </w:p>
    <w:p w:rsidR="00AC351A" w:rsidRDefault="00AC351A" w:rsidP="00AC351A">
      <w:pPr>
        <w:pStyle w:val="2"/>
        <w:jc w:val="both"/>
      </w:pPr>
      <w:r>
        <w:t>1.1. Настоящее Положение разработано в соответствии с Гражданским кодексом, Законом от 06.12.2011 № 402-ФЗ «О бухгалтерском учете», приказом Минфина России от 01.12.2010 № 157н.</w:t>
      </w:r>
    </w:p>
    <w:p w:rsidR="00AC351A" w:rsidRDefault="00AC351A" w:rsidP="00AC351A">
      <w:pPr>
        <w:pStyle w:val="2"/>
        <w:jc w:val="both"/>
      </w:pPr>
      <w:r>
        <w:t xml:space="preserve">1.2. Положение устанавливает правила и условия признания кредиторской задолженности ФГБУ </w:t>
      </w:r>
      <w:r w:rsidR="00586367">
        <w:t>Т</w:t>
      </w:r>
      <w:r>
        <w:t>С «</w:t>
      </w:r>
      <w:r w:rsidR="00586367">
        <w:t>Выборг-3</w:t>
      </w:r>
      <w:r>
        <w:t>» невостребованной кредиторами с целью списания с балансового или забалансового учета.</w:t>
      </w:r>
    </w:p>
    <w:p w:rsidR="00AC351A" w:rsidRDefault="00AC351A" w:rsidP="00AC351A">
      <w:pPr>
        <w:pStyle w:val="2"/>
        <w:jc w:val="both"/>
      </w:pPr>
      <w:r>
        <w:t>1.3. Решение о признании кредиторской задолженности невостребованной принимает комиссия учреждения по поступлению и выбытию активов.</w:t>
      </w:r>
    </w:p>
    <w:p w:rsidR="00AC351A" w:rsidRDefault="00AC351A" w:rsidP="00AC351A">
      <w:pPr>
        <w:pStyle w:val="2"/>
        <w:jc w:val="both"/>
      </w:pPr>
    </w:p>
    <w:p w:rsidR="00AC351A" w:rsidRDefault="00AC351A" w:rsidP="00AC351A">
      <w:pPr>
        <w:pStyle w:val="2"/>
        <w:jc w:val="both"/>
      </w:pPr>
      <w:r>
        <w:t>2. Критерии признания кредиторской задолженности</w:t>
      </w:r>
    </w:p>
    <w:p w:rsidR="00AC351A" w:rsidRDefault="00AC351A" w:rsidP="00AC351A">
      <w:pPr>
        <w:pStyle w:val="2"/>
        <w:jc w:val="both"/>
      </w:pPr>
      <w:r>
        <w:t>невостребованной кредиторами</w:t>
      </w:r>
    </w:p>
    <w:p w:rsidR="00AC351A" w:rsidRDefault="00AC351A" w:rsidP="00AC351A">
      <w:pPr>
        <w:pStyle w:val="2"/>
        <w:jc w:val="both"/>
      </w:pPr>
    </w:p>
    <w:p w:rsidR="00AC351A" w:rsidRDefault="00AC351A" w:rsidP="00AC351A">
      <w:pPr>
        <w:pStyle w:val="2"/>
        <w:jc w:val="both"/>
      </w:pPr>
      <w:r>
        <w:t>2.1. Невостребованной признается просроченная кредиторская задолженность:</w:t>
      </w:r>
    </w:p>
    <w:p w:rsidR="00AC351A" w:rsidRDefault="00AC351A" w:rsidP="00AC351A">
      <w:pPr>
        <w:pStyle w:val="2"/>
        <w:jc w:val="both"/>
      </w:pPr>
      <w:r>
        <w:t>- в отношении которой кредитор не предъявил требования;</w:t>
      </w:r>
    </w:p>
    <w:p w:rsidR="00AC351A" w:rsidRDefault="00AC351A" w:rsidP="00AC351A">
      <w:pPr>
        <w:pStyle w:val="2"/>
        <w:jc w:val="both"/>
      </w:pPr>
      <w:r>
        <w:t>- которая носит заявительный характер, при этом кредитор не подтвердил задолженность по результатам инвентаризации.</w:t>
      </w:r>
    </w:p>
    <w:p w:rsidR="00AC351A" w:rsidRDefault="00AC351A" w:rsidP="00AC351A">
      <w:pPr>
        <w:pStyle w:val="2"/>
        <w:jc w:val="both"/>
      </w:pPr>
      <w:r>
        <w:t>2.2. Основанием для признания кредиторской задолженности невостребованной является:</w:t>
      </w:r>
    </w:p>
    <w:p w:rsidR="00AC351A" w:rsidRDefault="00AC351A" w:rsidP="00AC351A">
      <w:pPr>
        <w:pStyle w:val="2"/>
        <w:jc w:val="both"/>
      </w:pPr>
      <w:r>
        <w:t>- истечение срока исковой давности (ст. 196 ГК РФ);</w:t>
      </w:r>
    </w:p>
    <w:p w:rsidR="00AC351A" w:rsidRDefault="00AC351A" w:rsidP="00AC351A">
      <w:pPr>
        <w:pStyle w:val="2"/>
        <w:jc w:val="both"/>
      </w:pPr>
      <w:r>
        <w:t>- прекращение обязательства вследствие невозможности его исполнения в соответствии с гражданским законодательством (ст. 416 ГК РФ);</w:t>
      </w:r>
    </w:p>
    <w:p w:rsidR="00AC351A" w:rsidRDefault="00AC351A" w:rsidP="00AC351A">
      <w:pPr>
        <w:pStyle w:val="2"/>
        <w:jc w:val="both"/>
      </w:pPr>
      <w:r>
        <w:t>- прекращение обязательства на основании акта государственного органа (ст. 417 ГК РФ);</w:t>
      </w:r>
    </w:p>
    <w:p w:rsidR="00AC351A" w:rsidRDefault="00AC351A" w:rsidP="00AC351A">
      <w:pPr>
        <w:pStyle w:val="2"/>
        <w:jc w:val="both"/>
      </w:pPr>
      <w:r>
        <w:t>- ликвидация юридического лица или смерть гражданина (ст. 419 ГК РФ).</w:t>
      </w:r>
    </w:p>
    <w:p w:rsidR="00AC351A" w:rsidRDefault="00AC351A" w:rsidP="00AC351A">
      <w:pPr>
        <w:pStyle w:val="2"/>
        <w:jc w:val="both"/>
      </w:pPr>
      <w:r>
        <w:t>3. Порядок признания кредиторской задолженности невостребованной</w:t>
      </w:r>
    </w:p>
    <w:p w:rsidR="00AC351A" w:rsidRDefault="00AC351A" w:rsidP="00AC351A">
      <w:pPr>
        <w:pStyle w:val="2"/>
        <w:jc w:val="both"/>
      </w:pPr>
      <w:r>
        <w:t>3.1.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rsidR="00AC351A" w:rsidRDefault="00AC351A" w:rsidP="00AC351A">
      <w:pPr>
        <w:pStyle w:val="2"/>
        <w:jc w:val="both"/>
      </w:pPr>
      <w:r>
        <w:t>Срок для принятия решения – не позднее одного рабочего дня после поступления служебной записки либо Акта о результатах инвентаризации (ф. 0504835).</w:t>
      </w:r>
    </w:p>
    <w:p w:rsidR="00AC351A" w:rsidRDefault="00AC351A" w:rsidP="00AC351A">
      <w:pPr>
        <w:pStyle w:val="2"/>
        <w:jc w:val="both"/>
      </w:pPr>
      <w:r>
        <w:lastRenderedPageBreak/>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пункте 3.3 настоящего Положения.</w:t>
      </w:r>
    </w:p>
    <w:p w:rsidR="00AC351A" w:rsidRDefault="00AC351A" w:rsidP="00AC351A">
      <w:pPr>
        <w:pStyle w:val="2"/>
        <w:jc w:val="both"/>
      </w:pPr>
      <w:r>
        <w:t>3.3. Для признания кредиторской задолженности невостребованной необходимы следующие документы:</w:t>
      </w:r>
    </w:p>
    <w:p w:rsidR="00AC351A" w:rsidRDefault="00AC351A" w:rsidP="00AC351A">
      <w:pPr>
        <w:pStyle w:val="2"/>
        <w:jc w:val="both"/>
      </w:pPr>
      <w:r>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rsidR="00AC351A" w:rsidRDefault="00AC351A" w:rsidP="00AC351A">
      <w:pPr>
        <w:pStyle w:val="2"/>
        <w:jc w:val="both"/>
      </w:pPr>
      <w: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AC351A" w:rsidRDefault="00AC351A" w:rsidP="00AC351A">
      <w:pPr>
        <w:pStyle w:val="2"/>
        <w:jc w:val="both"/>
      </w:pPr>
      <w: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C351A" w:rsidRDefault="00AC351A" w:rsidP="00AC351A">
      <w:pPr>
        <w:pStyle w:val="2"/>
        <w:jc w:val="both"/>
      </w:pPr>
      <w:r>
        <w:t>-копия постановления о прекращении исполнительного производства;</w:t>
      </w:r>
    </w:p>
    <w:p w:rsidR="00AC351A" w:rsidRDefault="00AC351A" w:rsidP="00AC351A">
      <w:pPr>
        <w:pStyle w:val="2"/>
        <w:jc w:val="both"/>
      </w:pPr>
      <w: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rsidR="00AC351A" w:rsidRDefault="00AC351A" w:rsidP="00AC351A">
      <w:pPr>
        <w:pStyle w:val="2"/>
        <w:jc w:val="both"/>
      </w:pPr>
      <w: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AC351A" w:rsidRDefault="00AC351A" w:rsidP="00AC351A">
      <w:pPr>
        <w:pStyle w:val="2"/>
        <w:jc w:val="both"/>
      </w:pPr>
      <w:r>
        <w:t>-документ, содержащий сведения уполномоченного органа о наступлении чрезвычайных или других непредвиденных обстоятельств.</w:t>
      </w:r>
    </w:p>
    <w:p w:rsidR="00AC351A" w:rsidRDefault="00AC351A" w:rsidP="00AC351A">
      <w:pPr>
        <w:pStyle w:val="2"/>
        <w:jc w:val="both"/>
      </w:pPr>
      <w:r>
        <w:t>3.4. Решение комиссии оформляется в Решении о списании задолженности, невостребованной кредиторами (ф. 0510437) (утв. приказом Минфина от 15.04.2021 № 61н).</w:t>
      </w:r>
    </w:p>
    <w:p w:rsidR="00AC351A" w:rsidRDefault="00AC351A" w:rsidP="00AC351A">
      <w:pPr>
        <w:pStyle w:val="2"/>
        <w:jc w:val="both"/>
      </w:pPr>
      <w:r>
        <w:t>3.5. На основании Решения (ф. 0510437) задолженность списывается с балансовых счетов:</w:t>
      </w:r>
    </w:p>
    <w:p w:rsidR="00AC351A" w:rsidRDefault="00AC351A" w:rsidP="00AC351A">
      <w:pPr>
        <w:pStyle w:val="2"/>
        <w:jc w:val="both"/>
      </w:pPr>
      <w:r>
        <w:t>-окончательно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rsidR="00AC351A" w:rsidRDefault="00AC351A" w:rsidP="00AC351A">
      <w:pPr>
        <w:pStyle w:val="2"/>
        <w:jc w:val="both"/>
      </w:pPr>
      <w:r>
        <w:t>-на забалансовый счет 20 «Задолженность, невостребованная кредиторами» – в остальных случаях признания задолженности невостребованной.</w:t>
      </w:r>
    </w:p>
    <w:p w:rsidR="00AC351A" w:rsidRDefault="00AC351A" w:rsidP="00AC351A">
      <w:pPr>
        <w:pStyle w:val="2"/>
        <w:jc w:val="both"/>
      </w:pPr>
      <w:r>
        <w:t>3.6. С забалансового счета 20 задолженность списывается в следующих случаях:</w:t>
      </w:r>
    </w:p>
    <w:p w:rsidR="00AC351A" w:rsidRDefault="00AC351A" w:rsidP="00AC351A">
      <w:pPr>
        <w:pStyle w:val="2"/>
        <w:jc w:val="both"/>
      </w:pPr>
      <w:r>
        <w:t>-по завершении срока возможного возобновления процедуры взыскания задолженности – согласно действующему законодательству;</w:t>
      </w:r>
    </w:p>
    <w:p w:rsidR="00AC351A" w:rsidRDefault="00AC351A" w:rsidP="00AC351A">
      <w:pPr>
        <w:pStyle w:val="2"/>
        <w:jc w:val="both"/>
      </w:pPr>
      <w:r>
        <w:t>-при наличии документов, подтверждающих прекращение обязательства в связи со смертью (ликвидацией) контрагента.</w:t>
      </w:r>
    </w:p>
    <w:p w:rsidR="00AC351A" w:rsidRDefault="00AC351A" w:rsidP="00AC351A">
      <w:pPr>
        <w:pStyle w:val="2"/>
        <w:jc w:val="both"/>
      </w:pPr>
      <w:r>
        <w:t>Основание – Решение о списании задолженности, невостребованной кредиторами (ф. 0510437).</w:t>
      </w:r>
    </w:p>
    <w:p w:rsidR="00AC351A" w:rsidRDefault="00AC351A" w:rsidP="00AC351A">
      <w:pPr>
        <w:pStyle w:val="2"/>
        <w:jc w:val="both"/>
      </w:pPr>
      <w:r>
        <w:t>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p>
    <w:p w:rsidR="005D0B42" w:rsidRPr="006234CD" w:rsidRDefault="005D0B42" w:rsidP="00F80A9B">
      <w:pPr>
        <w:pStyle w:val="2"/>
        <w:jc w:val="both"/>
      </w:pPr>
    </w:p>
    <w:sectPr w:rsidR="005D0B42" w:rsidRPr="006234CD" w:rsidSect="004D643B">
      <w:type w:val="continuous"/>
      <w:pgSz w:w="11909" w:h="16838"/>
      <w:pgMar w:top="1465" w:right="994" w:bottom="1431"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BE" w:rsidRDefault="002474BE">
      <w:r>
        <w:separator/>
      </w:r>
    </w:p>
  </w:endnote>
  <w:endnote w:type="continuationSeparator" w:id="0">
    <w:p w:rsidR="002474BE" w:rsidRDefault="0024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BE" w:rsidRDefault="002474BE"/>
  </w:footnote>
  <w:footnote w:type="continuationSeparator" w:id="0">
    <w:p w:rsidR="002474BE" w:rsidRDefault="002474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077"/>
    <w:multiLevelType w:val="hybridMultilevel"/>
    <w:tmpl w:val="8E76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F26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458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22FE7"/>
    <w:multiLevelType w:val="multilevel"/>
    <w:tmpl w:val="33080B98"/>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5130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30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70944"/>
    <w:multiLevelType w:val="multilevel"/>
    <w:tmpl w:val="3EF6D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D744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78"/>
    <w:rsid w:val="00017AE4"/>
    <w:rsid w:val="00022A3C"/>
    <w:rsid w:val="00023C26"/>
    <w:rsid w:val="000255E9"/>
    <w:rsid w:val="0007302F"/>
    <w:rsid w:val="00075FAC"/>
    <w:rsid w:val="0008520A"/>
    <w:rsid w:val="00085AFC"/>
    <w:rsid w:val="00087CD7"/>
    <w:rsid w:val="0009082D"/>
    <w:rsid w:val="000C62EE"/>
    <w:rsid w:val="000F0010"/>
    <w:rsid w:val="000F407D"/>
    <w:rsid w:val="000F57B3"/>
    <w:rsid w:val="001019B1"/>
    <w:rsid w:val="00117E07"/>
    <w:rsid w:val="00125087"/>
    <w:rsid w:val="00125B6E"/>
    <w:rsid w:val="0013136B"/>
    <w:rsid w:val="00132D8A"/>
    <w:rsid w:val="001426DB"/>
    <w:rsid w:val="00143EE1"/>
    <w:rsid w:val="001463EB"/>
    <w:rsid w:val="00147A2A"/>
    <w:rsid w:val="00155B4F"/>
    <w:rsid w:val="00163580"/>
    <w:rsid w:val="0017234A"/>
    <w:rsid w:val="001A12B7"/>
    <w:rsid w:val="001A464F"/>
    <w:rsid w:val="001F1805"/>
    <w:rsid w:val="001F5880"/>
    <w:rsid w:val="001F73F7"/>
    <w:rsid w:val="00210666"/>
    <w:rsid w:val="002150FB"/>
    <w:rsid w:val="0021669F"/>
    <w:rsid w:val="002439FA"/>
    <w:rsid w:val="00244C6A"/>
    <w:rsid w:val="002474BE"/>
    <w:rsid w:val="002524B9"/>
    <w:rsid w:val="0025258B"/>
    <w:rsid w:val="00263100"/>
    <w:rsid w:val="002829BF"/>
    <w:rsid w:val="00283D47"/>
    <w:rsid w:val="002A0AA5"/>
    <w:rsid w:val="002C08C1"/>
    <w:rsid w:val="002C24BC"/>
    <w:rsid w:val="002D2E7B"/>
    <w:rsid w:val="002D32DF"/>
    <w:rsid w:val="002D5D1E"/>
    <w:rsid w:val="002E5C2E"/>
    <w:rsid w:val="00315EB0"/>
    <w:rsid w:val="00332E7C"/>
    <w:rsid w:val="00340137"/>
    <w:rsid w:val="003451D0"/>
    <w:rsid w:val="00354A1D"/>
    <w:rsid w:val="003560EE"/>
    <w:rsid w:val="0036260C"/>
    <w:rsid w:val="00366640"/>
    <w:rsid w:val="00366E33"/>
    <w:rsid w:val="003679C9"/>
    <w:rsid w:val="0037467A"/>
    <w:rsid w:val="00376D1F"/>
    <w:rsid w:val="003A3520"/>
    <w:rsid w:val="003A6445"/>
    <w:rsid w:val="003B16FE"/>
    <w:rsid w:val="003C1D22"/>
    <w:rsid w:val="003D1D6D"/>
    <w:rsid w:val="003F2CC4"/>
    <w:rsid w:val="00404A4F"/>
    <w:rsid w:val="004135AA"/>
    <w:rsid w:val="00413DF9"/>
    <w:rsid w:val="004313A9"/>
    <w:rsid w:val="004667FC"/>
    <w:rsid w:val="00486C6E"/>
    <w:rsid w:val="004924C6"/>
    <w:rsid w:val="004B2114"/>
    <w:rsid w:val="004C33E2"/>
    <w:rsid w:val="004D4B80"/>
    <w:rsid w:val="004D643B"/>
    <w:rsid w:val="004E25F8"/>
    <w:rsid w:val="004E699E"/>
    <w:rsid w:val="004E6E91"/>
    <w:rsid w:val="005014AF"/>
    <w:rsid w:val="005069F3"/>
    <w:rsid w:val="00546A8B"/>
    <w:rsid w:val="005601C1"/>
    <w:rsid w:val="005638BE"/>
    <w:rsid w:val="00586367"/>
    <w:rsid w:val="00594369"/>
    <w:rsid w:val="005A1C65"/>
    <w:rsid w:val="005B4612"/>
    <w:rsid w:val="005B513C"/>
    <w:rsid w:val="005C0B8C"/>
    <w:rsid w:val="005C6D05"/>
    <w:rsid w:val="005D0B42"/>
    <w:rsid w:val="005D6C6C"/>
    <w:rsid w:val="005F2FB8"/>
    <w:rsid w:val="00603F2B"/>
    <w:rsid w:val="00605EFC"/>
    <w:rsid w:val="006234CD"/>
    <w:rsid w:val="00644CA9"/>
    <w:rsid w:val="00681B12"/>
    <w:rsid w:val="006A023E"/>
    <w:rsid w:val="006C572A"/>
    <w:rsid w:val="006C6FD1"/>
    <w:rsid w:val="006D0E9B"/>
    <w:rsid w:val="006E2A25"/>
    <w:rsid w:val="006F2EA0"/>
    <w:rsid w:val="007313A8"/>
    <w:rsid w:val="0075776A"/>
    <w:rsid w:val="00763764"/>
    <w:rsid w:val="00776048"/>
    <w:rsid w:val="007A7F96"/>
    <w:rsid w:val="007B6638"/>
    <w:rsid w:val="007C568B"/>
    <w:rsid w:val="007D2381"/>
    <w:rsid w:val="007D311C"/>
    <w:rsid w:val="007E5293"/>
    <w:rsid w:val="00806295"/>
    <w:rsid w:val="0081596A"/>
    <w:rsid w:val="008360B1"/>
    <w:rsid w:val="00853D60"/>
    <w:rsid w:val="00865DD7"/>
    <w:rsid w:val="0086787E"/>
    <w:rsid w:val="00867C00"/>
    <w:rsid w:val="008A436E"/>
    <w:rsid w:val="008F0139"/>
    <w:rsid w:val="00902295"/>
    <w:rsid w:val="00914484"/>
    <w:rsid w:val="009212A3"/>
    <w:rsid w:val="00945DAF"/>
    <w:rsid w:val="00951448"/>
    <w:rsid w:val="00965ABA"/>
    <w:rsid w:val="00971C4C"/>
    <w:rsid w:val="00973048"/>
    <w:rsid w:val="009748D6"/>
    <w:rsid w:val="00982E35"/>
    <w:rsid w:val="009960BB"/>
    <w:rsid w:val="009A1291"/>
    <w:rsid w:val="009B3AE2"/>
    <w:rsid w:val="009C6F9B"/>
    <w:rsid w:val="009D0BC3"/>
    <w:rsid w:val="009D5CBD"/>
    <w:rsid w:val="009D6E54"/>
    <w:rsid w:val="009F4664"/>
    <w:rsid w:val="00A10484"/>
    <w:rsid w:val="00A14EE1"/>
    <w:rsid w:val="00A15AF5"/>
    <w:rsid w:val="00A219EC"/>
    <w:rsid w:val="00A24F30"/>
    <w:rsid w:val="00A26257"/>
    <w:rsid w:val="00A57E9B"/>
    <w:rsid w:val="00A67483"/>
    <w:rsid w:val="00A80A37"/>
    <w:rsid w:val="00A82906"/>
    <w:rsid w:val="00A860F7"/>
    <w:rsid w:val="00AB2553"/>
    <w:rsid w:val="00AC0119"/>
    <w:rsid w:val="00AC09BD"/>
    <w:rsid w:val="00AC351A"/>
    <w:rsid w:val="00AD4C3D"/>
    <w:rsid w:val="00AD5194"/>
    <w:rsid w:val="00AD65EC"/>
    <w:rsid w:val="00AE0EBD"/>
    <w:rsid w:val="00AE41FF"/>
    <w:rsid w:val="00B0238E"/>
    <w:rsid w:val="00B03A16"/>
    <w:rsid w:val="00B25658"/>
    <w:rsid w:val="00B37687"/>
    <w:rsid w:val="00B41C8D"/>
    <w:rsid w:val="00B4364A"/>
    <w:rsid w:val="00B56CE5"/>
    <w:rsid w:val="00B708C8"/>
    <w:rsid w:val="00B70B6E"/>
    <w:rsid w:val="00BA25B4"/>
    <w:rsid w:val="00BD3785"/>
    <w:rsid w:val="00BF2DAA"/>
    <w:rsid w:val="00BF5CF2"/>
    <w:rsid w:val="00BF67AB"/>
    <w:rsid w:val="00C0116E"/>
    <w:rsid w:val="00C056E7"/>
    <w:rsid w:val="00C07D18"/>
    <w:rsid w:val="00C106C3"/>
    <w:rsid w:val="00C11794"/>
    <w:rsid w:val="00C12821"/>
    <w:rsid w:val="00C17BAB"/>
    <w:rsid w:val="00C200BD"/>
    <w:rsid w:val="00C26483"/>
    <w:rsid w:val="00C27F93"/>
    <w:rsid w:val="00C31793"/>
    <w:rsid w:val="00C43801"/>
    <w:rsid w:val="00C53868"/>
    <w:rsid w:val="00C53ED2"/>
    <w:rsid w:val="00C8628B"/>
    <w:rsid w:val="00CA2708"/>
    <w:rsid w:val="00CA5A10"/>
    <w:rsid w:val="00CE0B27"/>
    <w:rsid w:val="00D37F96"/>
    <w:rsid w:val="00D55E4D"/>
    <w:rsid w:val="00D85CD9"/>
    <w:rsid w:val="00DB139D"/>
    <w:rsid w:val="00DC2442"/>
    <w:rsid w:val="00DC31AC"/>
    <w:rsid w:val="00DF413B"/>
    <w:rsid w:val="00E107E8"/>
    <w:rsid w:val="00E26866"/>
    <w:rsid w:val="00E3177B"/>
    <w:rsid w:val="00E3187D"/>
    <w:rsid w:val="00E523EF"/>
    <w:rsid w:val="00E53A72"/>
    <w:rsid w:val="00E57882"/>
    <w:rsid w:val="00E92027"/>
    <w:rsid w:val="00E973C2"/>
    <w:rsid w:val="00EB1DBA"/>
    <w:rsid w:val="00EB53C9"/>
    <w:rsid w:val="00EE3778"/>
    <w:rsid w:val="00F24255"/>
    <w:rsid w:val="00F439A2"/>
    <w:rsid w:val="00F53D35"/>
    <w:rsid w:val="00F65B38"/>
    <w:rsid w:val="00F80A9B"/>
    <w:rsid w:val="00F862DE"/>
    <w:rsid w:val="00F92C84"/>
    <w:rsid w:val="00F967AC"/>
    <w:rsid w:val="00FC3EFE"/>
    <w:rsid w:val="00FD217F"/>
    <w:rsid w:val="00FF2878"/>
    <w:rsid w:val="00FF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B0F6"/>
  <w15:docId w15:val="{63FFFC7C-D61E-41A7-ABCD-2C61794B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link w:val="30"/>
    <w:uiPriority w:val="9"/>
    <w:qFormat/>
    <w:rsid w:val="0007302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9"/>
      <w:u w:val="none"/>
    </w:rPr>
  </w:style>
  <w:style w:type="paragraph" w:customStyle="1" w:styleId="2">
    <w:name w:val="Основной текст2"/>
    <w:basedOn w:val="a"/>
    <w:link w:val="a4"/>
    <w:pPr>
      <w:shd w:val="clear" w:color="auto" w:fill="FFFFFF"/>
      <w:spacing w:line="322"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420" w:after="420" w:line="0" w:lineRule="atLeast"/>
      <w:outlineLvl w:val="0"/>
    </w:pPr>
    <w:rPr>
      <w:rFonts w:ascii="Times New Roman" w:eastAsia="Times New Roman" w:hAnsi="Times New Roman" w:cs="Times New Roman"/>
      <w:b/>
      <w:bCs/>
      <w:spacing w:val="10"/>
    </w:rPr>
  </w:style>
  <w:style w:type="table" w:styleId="a5">
    <w:name w:val="Table Grid"/>
    <w:basedOn w:val="a1"/>
    <w:uiPriority w:val="39"/>
    <w:rsid w:val="0049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3ED2"/>
    <w:rPr>
      <w:rFonts w:ascii="Segoe UI" w:hAnsi="Segoe UI" w:cs="Segoe UI"/>
      <w:sz w:val="18"/>
      <w:szCs w:val="18"/>
    </w:rPr>
  </w:style>
  <w:style w:type="character" w:customStyle="1" w:styleId="a7">
    <w:name w:val="Текст выноски Знак"/>
    <w:basedOn w:val="a0"/>
    <w:link w:val="a6"/>
    <w:uiPriority w:val="99"/>
    <w:semiHidden/>
    <w:rsid w:val="00C53ED2"/>
    <w:rPr>
      <w:rFonts w:ascii="Segoe UI" w:hAnsi="Segoe UI" w:cs="Segoe UI"/>
      <w:color w:val="000000"/>
      <w:sz w:val="18"/>
      <w:szCs w:val="18"/>
    </w:rPr>
  </w:style>
  <w:style w:type="character" w:customStyle="1" w:styleId="a8">
    <w:name w:val="Цветовое выделение"/>
    <w:uiPriority w:val="99"/>
    <w:rsid w:val="002D2E7B"/>
    <w:rPr>
      <w:b/>
      <w:bCs/>
      <w:color w:val="26282F"/>
    </w:rPr>
  </w:style>
  <w:style w:type="character" w:customStyle="1" w:styleId="a9">
    <w:name w:val="Гипертекстовая ссылка"/>
    <w:basedOn w:val="a8"/>
    <w:uiPriority w:val="99"/>
    <w:rsid w:val="002D2E7B"/>
    <w:rPr>
      <w:b w:val="0"/>
      <w:bCs w:val="0"/>
      <w:color w:val="106BBE"/>
    </w:rPr>
  </w:style>
  <w:style w:type="paragraph" w:customStyle="1" w:styleId="aa">
    <w:name w:val="Сноска"/>
    <w:basedOn w:val="a"/>
    <w:next w:val="a"/>
    <w:uiPriority w:val="99"/>
    <w:rsid w:val="002D2E7B"/>
    <w:pPr>
      <w:autoSpaceDE w:val="0"/>
      <w:autoSpaceDN w:val="0"/>
      <w:adjustRightInd w:val="0"/>
      <w:ind w:firstLine="720"/>
      <w:jc w:val="both"/>
    </w:pPr>
    <w:rPr>
      <w:rFonts w:ascii="Times New Roman CYR" w:eastAsiaTheme="minorEastAsia" w:hAnsi="Times New Roman CYR" w:cs="Times New Roman CYR"/>
      <w:color w:val="auto"/>
      <w:sz w:val="20"/>
      <w:szCs w:val="20"/>
      <w:lang w:bidi="ar-SA"/>
    </w:rPr>
  </w:style>
  <w:style w:type="character" w:customStyle="1" w:styleId="30">
    <w:name w:val="Заголовок 3 Знак"/>
    <w:basedOn w:val="a0"/>
    <w:link w:val="3"/>
    <w:uiPriority w:val="9"/>
    <w:rsid w:val="0007302F"/>
    <w:rPr>
      <w:rFonts w:ascii="Times New Roman" w:eastAsia="Times New Roman" w:hAnsi="Times New Roman" w:cs="Times New Roman"/>
      <w:b/>
      <w:bCs/>
      <w:sz w:val="27"/>
      <w:szCs w:val="27"/>
      <w:lang w:bidi="ar-SA"/>
    </w:rPr>
  </w:style>
  <w:style w:type="paragraph" w:styleId="ab">
    <w:name w:val="Normal (Web)"/>
    <w:basedOn w:val="a"/>
    <w:uiPriority w:val="99"/>
    <w:unhideWhenUsed/>
    <w:rsid w:val="0007302F"/>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Emphasis"/>
    <w:basedOn w:val="a0"/>
    <w:uiPriority w:val="20"/>
    <w:qFormat/>
    <w:rsid w:val="0007302F"/>
    <w:rPr>
      <w:i/>
      <w:iCs/>
    </w:rPr>
  </w:style>
  <w:style w:type="paragraph" w:styleId="ad">
    <w:name w:val="List Paragraph"/>
    <w:basedOn w:val="a"/>
    <w:uiPriority w:val="34"/>
    <w:qFormat/>
    <w:rsid w:val="00075FAC"/>
    <w:pPr>
      <w:ind w:left="720"/>
      <w:contextualSpacing/>
    </w:pPr>
  </w:style>
  <w:style w:type="paragraph" w:customStyle="1" w:styleId="s1">
    <w:name w:val="s_1"/>
    <w:basedOn w:val="a"/>
    <w:rsid w:val="0077604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basedOn w:val="a0"/>
    <w:rsid w:val="0077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9833">
      <w:bodyDiv w:val="1"/>
      <w:marLeft w:val="0"/>
      <w:marRight w:val="0"/>
      <w:marTop w:val="0"/>
      <w:marBottom w:val="0"/>
      <w:divBdr>
        <w:top w:val="none" w:sz="0" w:space="0" w:color="auto"/>
        <w:left w:val="none" w:sz="0" w:space="0" w:color="auto"/>
        <w:bottom w:val="none" w:sz="0" w:space="0" w:color="auto"/>
        <w:right w:val="none" w:sz="0" w:space="0" w:color="auto"/>
      </w:divBdr>
      <w:divsChild>
        <w:div w:id="851530150">
          <w:marLeft w:val="0"/>
          <w:marRight w:val="0"/>
          <w:marTop w:val="0"/>
          <w:marBottom w:val="0"/>
          <w:divBdr>
            <w:top w:val="none" w:sz="0" w:space="0" w:color="auto"/>
            <w:left w:val="none" w:sz="0" w:space="0" w:color="auto"/>
            <w:bottom w:val="none" w:sz="0" w:space="0" w:color="auto"/>
            <w:right w:val="none" w:sz="0" w:space="0" w:color="auto"/>
          </w:divBdr>
        </w:div>
        <w:div w:id="1064640001">
          <w:marLeft w:val="0"/>
          <w:marRight w:val="0"/>
          <w:marTop w:val="0"/>
          <w:marBottom w:val="11250"/>
          <w:divBdr>
            <w:top w:val="none" w:sz="0" w:space="0" w:color="auto"/>
            <w:left w:val="none" w:sz="0" w:space="0" w:color="auto"/>
            <w:bottom w:val="none" w:sz="0" w:space="0" w:color="auto"/>
            <w:right w:val="none" w:sz="0" w:space="0" w:color="auto"/>
          </w:divBdr>
          <w:divsChild>
            <w:div w:id="17339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4299">
      <w:bodyDiv w:val="1"/>
      <w:marLeft w:val="0"/>
      <w:marRight w:val="0"/>
      <w:marTop w:val="0"/>
      <w:marBottom w:val="0"/>
      <w:divBdr>
        <w:top w:val="none" w:sz="0" w:space="0" w:color="auto"/>
        <w:left w:val="none" w:sz="0" w:space="0" w:color="auto"/>
        <w:bottom w:val="none" w:sz="0" w:space="0" w:color="auto"/>
        <w:right w:val="none" w:sz="0" w:space="0" w:color="auto"/>
      </w:divBdr>
    </w:div>
    <w:div w:id="2001930266">
      <w:bodyDiv w:val="1"/>
      <w:marLeft w:val="0"/>
      <w:marRight w:val="0"/>
      <w:marTop w:val="0"/>
      <w:marBottom w:val="0"/>
      <w:divBdr>
        <w:top w:val="none" w:sz="0" w:space="0" w:color="auto"/>
        <w:left w:val="none" w:sz="0" w:space="0" w:color="auto"/>
        <w:bottom w:val="none" w:sz="0" w:space="0" w:color="auto"/>
        <w:right w:val="none" w:sz="0" w:space="0" w:color="auto"/>
      </w:divBdr>
    </w:div>
    <w:div w:id="2081248558">
      <w:bodyDiv w:val="1"/>
      <w:marLeft w:val="0"/>
      <w:marRight w:val="0"/>
      <w:marTop w:val="0"/>
      <w:marBottom w:val="0"/>
      <w:divBdr>
        <w:top w:val="none" w:sz="0" w:space="0" w:color="auto"/>
        <w:left w:val="none" w:sz="0" w:space="0" w:color="auto"/>
        <w:bottom w:val="none" w:sz="0" w:space="0" w:color="auto"/>
        <w:right w:val="none" w:sz="0" w:space="0" w:color="auto"/>
      </w:divBdr>
    </w:div>
    <w:div w:id="2093620208">
      <w:bodyDiv w:val="1"/>
      <w:marLeft w:val="0"/>
      <w:marRight w:val="0"/>
      <w:marTop w:val="0"/>
      <w:marBottom w:val="0"/>
      <w:divBdr>
        <w:top w:val="none" w:sz="0" w:space="0" w:color="auto"/>
        <w:left w:val="none" w:sz="0" w:space="0" w:color="auto"/>
        <w:bottom w:val="none" w:sz="0" w:space="0" w:color="auto"/>
        <w:right w:val="none" w:sz="0" w:space="0" w:color="auto"/>
      </w:divBdr>
    </w:div>
    <w:div w:id="214716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3673</Words>
  <Characters>20942</Characters>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2023-03-01T13:57:00Z</cp:lastPrinted>
  <dcterms:created xsi:type="dcterms:W3CDTF">2024-02-28T10:59:00Z</dcterms:created>
  <dcterms:modified xsi:type="dcterms:W3CDTF">2024-03-04T06:09:00Z</dcterms:modified>
</cp:coreProperties>
</file>